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629" w:rsidRDefault="00444304">
      <w:pPr>
        <w:pStyle w:val="CRCoverPage"/>
        <w:tabs>
          <w:tab w:val="right" w:pos="9639"/>
        </w:tabs>
        <w:spacing w:before="120" w:after="0"/>
        <w:rPr>
          <w:sz w:val="24"/>
          <w:lang w:eastAsia="zh-CN"/>
        </w:rPr>
      </w:pPr>
      <w:bookmarkStart w:id="0" w:name="_Ref399006623"/>
      <w:bookmarkStart w:id="1" w:name="_Toc92513360"/>
      <w:r>
        <w:rPr>
          <w:b/>
          <w:bCs/>
          <w:sz w:val="24"/>
          <w:lang w:eastAsia="zh-CN"/>
        </w:rPr>
        <w:t>3GPP</w:t>
      </w:r>
      <w:r>
        <w:rPr>
          <w:rFonts w:cs="黑体"/>
          <w:b/>
          <w:sz w:val="24"/>
          <w:szCs w:val="24"/>
        </w:rPr>
        <w:t xml:space="preserve"> TSG-</w:t>
      </w:r>
      <w:bookmarkStart w:id="2" w:name="OLE_LINK199"/>
      <w:bookmarkStart w:id="3" w:name="OLE_LINK198"/>
      <w:r>
        <w:rPr>
          <w:rFonts w:cs="黑体"/>
          <w:b/>
          <w:sz w:val="24"/>
          <w:szCs w:val="24"/>
        </w:rPr>
        <w:t>RAN WG2 Meeting</w:t>
      </w:r>
      <w:bookmarkEnd w:id="2"/>
      <w:bookmarkEnd w:id="3"/>
      <w:r>
        <w:rPr>
          <w:rFonts w:cs="黑体"/>
          <w:b/>
          <w:sz w:val="24"/>
          <w:szCs w:val="24"/>
        </w:rPr>
        <w:t xml:space="preserve"> #121 </w:t>
      </w:r>
      <w:r>
        <w:rPr>
          <w:b/>
          <w:sz w:val="24"/>
        </w:rPr>
        <w:t xml:space="preserve">          </w:t>
      </w:r>
      <w:r>
        <w:rPr>
          <w:b/>
          <w:sz w:val="24"/>
        </w:rPr>
        <w:tab/>
        <w:t xml:space="preserve">          </w:t>
      </w:r>
      <w:r>
        <w:rPr>
          <w:rFonts w:eastAsia="Malgun Gothic"/>
          <w:b/>
          <w:bCs/>
          <w:sz w:val="24"/>
          <w:szCs w:val="24"/>
          <w:lang w:eastAsia="zh-CN"/>
        </w:rPr>
        <w:t>R2-2301164</w:t>
      </w:r>
    </w:p>
    <w:p w:rsidR="00A26629" w:rsidRDefault="00444304">
      <w:pPr>
        <w:pStyle w:val="CRCoverPage"/>
        <w:tabs>
          <w:tab w:val="right" w:pos="9639"/>
        </w:tabs>
        <w:spacing w:before="120" w:after="0"/>
        <w:rPr>
          <w:b/>
          <w:sz w:val="24"/>
        </w:rPr>
      </w:pPr>
      <w:r>
        <w:rPr>
          <w:rFonts w:cs="Arial"/>
          <w:b/>
          <w:sz w:val="24"/>
          <w:lang w:val="de-DE" w:eastAsia="zh-CN"/>
        </w:rPr>
        <w:t xml:space="preserve">Athens,Greece, </w:t>
      </w:r>
      <w:r>
        <w:rPr>
          <w:rFonts w:cs="Arial" w:hint="eastAsia"/>
          <w:b/>
          <w:sz w:val="24"/>
          <w:lang w:val="de-DE" w:eastAsia="zh-CN"/>
        </w:rPr>
        <w:t>F</w:t>
      </w:r>
      <w:r>
        <w:rPr>
          <w:rFonts w:cs="Arial"/>
          <w:b/>
          <w:sz w:val="24"/>
          <w:lang w:val="de-DE" w:eastAsia="zh-CN"/>
        </w:rPr>
        <w:t>eb 27 – Mar 3, 2023</w:t>
      </w:r>
    </w:p>
    <w:p w:rsidR="00A26629" w:rsidRDefault="00A26629">
      <w:pPr>
        <w:pStyle w:val="CRCoverPage"/>
        <w:tabs>
          <w:tab w:val="right" w:pos="9639"/>
        </w:tabs>
        <w:spacing w:before="120" w:after="0"/>
        <w:rPr>
          <w:rFonts w:cs="Arial"/>
          <w:b/>
          <w:sz w:val="22"/>
        </w:rPr>
      </w:pPr>
    </w:p>
    <w:p w:rsidR="00A26629" w:rsidRDefault="00444304">
      <w:pPr>
        <w:tabs>
          <w:tab w:val="left" w:pos="1985"/>
        </w:tabs>
        <w:rPr>
          <w:rFonts w:ascii="Arial" w:hAnsi="Arial" w:cs="Arial"/>
          <w:b/>
          <w:sz w:val="22"/>
        </w:rPr>
      </w:pPr>
      <w:r>
        <w:rPr>
          <w:rFonts w:ascii="Arial" w:hAnsi="Arial" w:cs="Arial"/>
          <w:b/>
          <w:sz w:val="22"/>
        </w:rPr>
        <w:t>Agenda Item:</w:t>
      </w:r>
      <w:r>
        <w:rPr>
          <w:rFonts w:ascii="Arial" w:hAnsi="Arial" w:cs="Arial"/>
          <w:sz w:val="22"/>
        </w:rPr>
        <w:tab/>
        <w:t>8.11.3</w:t>
      </w:r>
    </w:p>
    <w:p w:rsidR="00A26629" w:rsidRDefault="00444304">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rsidR="00A26629" w:rsidRDefault="00444304">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Discussion on shared processing for MBS broadcast and unicast reception</w:t>
      </w:r>
    </w:p>
    <w:p w:rsidR="00A26629" w:rsidRDefault="00444304">
      <w:pPr>
        <w:tabs>
          <w:tab w:val="left" w:pos="1985"/>
        </w:tabs>
        <w:rPr>
          <w:rFonts w:ascii="Arial" w:hAnsi="Arial" w:cs="Arial"/>
          <w:sz w:val="22"/>
        </w:rPr>
      </w:pPr>
      <w:r>
        <w:rPr>
          <w:rFonts w:ascii="Arial" w:hAnsi="Arial" w:cs="Arial"/>
          <w:b/>
          <w:sz w:val="22"/>
        </w:rPr>
        <w:t>Document for:</w:t>
      </w:r>
      <w:r>
        <w:rPr>
          <w:rFonts w:ascii="Arial" w:hAnsi="Arial" w:cs="Arial"/>
          <w:sz w:val="22"/>
        </w:rPr>
        <w:tab/>
      </w:r>
      <w:bookmarkEnd w:id="0"/>
      <w:bookmarkEnd w:id="1"/>
      <w:r>
        <w:rPr>
          <w:rFonts w:ascii="Arial" w:hAnsi="Arial" w:cs="Arial"/>
          <w:sz w:val="22"/>
        </w:rPr>
        <w:t>Discussion and decision</w:t>
      </w:r>
    </w:p>
    <w:p w:rsidR="00A26629" w:rsidRDefault="00444304" w:rsidP="00004E30">
      <w:pPr>
        <w:pStyle w:val="1"/>
        <w:pBdr>
          <w:top w:val="single" w:sz="12" w:space="2" w:color="auto"/>
        </w:pBdr>
        <w:rPr>
          <w:rFonts w:eastAsia="宋体"/>
        </w:rPr>
      </w:pPr>
      <w:r w:rsidRPr="00004E30">
        <w:rPr>
          <w:rFonts w:eastAsia="宋体"/>
        </w:rPr>
        <w:t>Introduction</w:t>
      </w:r>
    </w:p>
    <w:p w:rsidR="00A26629" w:rsidRDefault="00444304">
      <w:r>
        <w:t>In RAN2#119-bis-e, the following was agreed on shared processing for MBS broadcast and unicast reception [1].</w:t>
      </w:r>
    </w:p>
    <w:tbl>
      <w:tblPr>
        <w:tblStyle w:val="35"/>
        <w:tblW w:w="9629" w:type="dxa"/>
        <w:tblLayout w:type="fixed"/>
        <w:tblLook w:val="04A0" w:firstRow="1" w:lastRow="0" w:firstColumn="1" w:lastColumn="0" w:noHBand="0" w:noVBand="1"/>
      </w:tblPr>
      <w:tblGrid>
        <w:gridCol w:w="9629"/>
      </w:tblGrid>
      <w:tr w:rsidR="00A26629">
        <w:trPr>
          <w:trHeight w:val="616"/>
        </w:trPr>
        <w:tc>
          <w:tcPr>
            <w:tcW w:w="9629" w:type="dxa"/>
          </w:tcPr>
          <w:p w:rsidR="00A26629" w:rsidRDefault="00444304">
            <w:pPr>
              <w:pStyle w:val="PL"/>
              <w:rPr>
                <w:rFonts w:ascii="Arial" w:hAnsi="Arial" w:cs="Arial"/>
                <w:b/>
                <w:sz w:val="20"/>
              </w:rPr>
            </w:pPr>
            <w:r>
              <w:rPr>
                <w:rFonts w:ascii="Arial" w:hAnsi="Arial" w:cs="Arial"/>
                <w:b/>
                <w:sz w:val="20"/>
              </w:rPr>
              <w:t xml:space="preserve">For shared processing we adopt the following as a baseline: </w:t>
            </w:r>
          </w:p>
          <w:p w:rsidR="00A26629" w:rsidRDefault="00444304">
            <w:pPr>
              <w:pStyle w:val="PL"/>
              <w:numPr>
                <w:ilvl w:val="0"/>
                <w:numId w:val="8"/>
              </w:numPr>
              <w:rPr>
                <w:rFonts w:ascii="Arial" w:hAnsi="Arial" w:cs="Arial"/>
                <w:b/>
                <w:sz w:val="20"/>
              </w:rPr>
            </w:pPr>
            <w:r>
              <w:rPr>
                <w:rFonts w:ascii="Arial" w:hAnsi="Arial" w:cs="Arial"/>
                <w:b/>
                <w:sz w:val="20"/>
              </w:rPr>
              <w:t xml:space="preserve">new IE is added in system information to control whether </w:t>
            </w:r>
            <w:proofErr w:type="spellStart"/>
            <w:r>
              <w:rPr>
                <w:rFonts w:ascii="Arial" w:hAnsi="Arial" w:cs="Arial"/>
                <w:b/>
                <w:sz w:val="20"/>
              </w:rPr>
              <w:t>MBSInterestIndication</w:t>
            </w:r>
            <w:proofErr w:type="spellEnd"/>
            <w:r>
              <w:rPr>
                <w:rFonts w:ascii="Arial" w:hAnsi="Arial" w:cs="Arial"/>
                <w:b/>
                <w:sz w:val="20"/>
              </w:rPr>
              <w:t xml:space="preserve"> for shared processing can be sent or not; </w:t>
            </w:r>
          </w:p>
          <w:p w:rsidR="00A26629" w:rsidRDefault="00444304">
            <w:pPr>
              <w:pStyle w:val="PL"/>
              <w:numPr>
                <w:ilvl w:val="0"/>
                <w:numId w:val="8"/>
              </w:numPr>
              <w:rPr>
                <w:rFonts w:ascii="Arial" w:hAnsi="Arial" w:cs="Arial"/>
                <w:b/>
                <w:sz w:val="20"/>
              </w:rPr>
            </w:pPr>
            <w:proofErr w:type="spellStart"/>
            <w:r>
              <w:rPr>
                <w:rFonts w:ascii="Arial" w:hAnsi="Arial" w:cs="Arial"/>
                <w:b/>
                <w:sz w:val="20"/>
              </w:rPr>
              <w:t>MBSInterestIndication</w:t>
            </w:r>
            <w:proofErr w:type="spellEnd"/>
            <w:r>
              <w:rPr>
                <w:rFonts w:ascii="Arial" w:hAnsi="Arial" w:cs="Arial"/>
                <w:b/>
                <w:sz w:val="20"/>
              </w:rPr>
              <w:t xml:space="preserve"> message content and related procedure is updated for shared processing.</w:t>
            </w:r>
          </w:p>
          <w:p w:rsidR="00A26629" w:rsidRDefault="00444304">
            <w:pPr>
              <w:pStyle w:val="PL"/>
              <w:rPr>
                <w:rFonts w:ascii="Arial" w:hAnsi="Arial" w:cs="Arial"/>
                <w:b/>
                <w:sz w:val="20"/>
              </w:rPr>
            </w:pPr>
            <w:r>
              <w:rPr>
                <w:rFonts w:ascii="Arial" w:hAnsi="Arial" w:cs="Arial"/>
                <w:b/>
                <w:sz w:val="20"/>
              </w:rPr>
              <w:t xml:space="preserve">New IE to control whether </w:t>
            </w:r>
            <w:proofErr w:type="spellStart"/>
            <w:r>
              <w:rPr>
                <w:rFonts w:ascii="Arial" w:hAnsi="Arial" w:cs="Arial"/>
                <w:b/>
                <w:sz w:val="20"/>
              </w:rPr>
              <w:t>MBSInterestIndication</w:t>
            </w:r>
            <w:proofErr w:type="spellEnd"/>
            <w:r>
              <w:rPr>
                <w:rFonts w:ascii="Arial" w:hAnsi="Arial" w:cs="Arial"/>
                <w:b/>
                <w:sz w:val="20"/>
              </w:rPr>
              <w:t xml:space="preserve"> for shared processing can be sent or not is added to SIB1. </w:t>
            </w:r>
          </w:p>
          <w:p w:rsidR="00A26629" w:rsidRDefault="00444304">
            <w:pPr>
              <w:pStyle w:val="PL"/>
              <w:rPr>
                <w:rFonts w:ascii="Arial" w:hAnsi="Arial" w:cs="Arial"/>
                <w:b/>
                <w:sz w:val="20"/>
              </w:rPr>
            </w:pPr>
            <w:r>
              <w:rPr>
                <w:rFonts w:ascii="Arial" w:hAnsi="Arial" w:cs="Arial"/>
                <w:b/>
                <w:sz w:val="20"/>
              </w:rPr>
              <w:t xml:space="preserve">In </w:t>
            </w:r>
            <w:proofErr w:type="spellStart"/>
            <w:r>
              <w:rPr>
                <w:rFonts w:ascii="Arial" w:hAnsi="Arial" w:cs="Arial"/>
                <w:b/>
                <w:sz w:val="20"/>
              </w:rPr>
              <w:t>MBSInterestIndication</w:t>
            </w:r>
            <w:proofErr w:type="spellEnd"/>
            <w:r>
              <w:rPr>
                <w:rFonts w:ascii="Arial" w:hAnsi="Arial" w:cs="Arial"/>
                <w:b/>
                <w:sz w:val="20"/>
              </w:rPr>
              <w:t xml:space="preserve">, for a broadcast service that the UE is receiving or is interested to receive, at least the following information can be signalled: broadcast frequency, subcarrier spacing, and bandwidth. </w:t>
            </w:r>
            <w:r>
              <w:rPr>
                <w:rFonts w:ascii="Arial" w:hAnsi="Arial" w:cs="Arial"/>
                <w:b/>
                <w:sz w:val="20"/>
                <w:highlight w:val="yellow"/>
              </w:rPr>
              <w:t>FFS details/exact parameters and other information.</w:t>
            </w:r>
            <w:r>
              <w:rPr>
                <w:rFonts w:ascii="Arial" w:hAnsi="Arial" w:cs="Arial"/>
                <w:b/>
                <w:sz w:val="20"/>
              </w:rPr>
              <w:t xml:space="preserve"> </w:t>
            </w:r>
            <w:r>
              <w:rPr>
                <w:rFonts w:ascii="Arial" w:hAnsi="Arial" w:cs="Arial"/>
                <w:b/>
                <w:sz w:val="20"/>
                <w:highlight w:val="yellow"/>
              </w:rPr>
              <w:t>FFS in which scenarios the UE reports this information (e.g. intra-PLMN case, inter-PLMN case)</w:t>
            </w:r>
          </w:p>
          <w:p w:rsidR="00A26629" w:rsidRDefault="00444304">
            <w:pPr>
              <w:pStyle w:val="PL"/>
              <w:rPr>
                <w:rFonts w:ascii="Arial" w:hAnsi="Arial"/>
                <w:b/>
                <w:lang w:eastAsia="ja-JP"/>
              </w:rPr>
            </w:pPr>
            <w:r>
              <w:rPr>
                <w:rFonts w:ascii="Arial" w:hAnsi="Arial" w:cs="Arial"/>
                <w:b/>
                <w:sz w:val="20"/>
                <w:highlight w:val="yellow"/>
              </w:rPr>
              <w:t>FFS whether UE capability is needed to enable shared processing.</w:t>
            </w:r>
          </w:p>
        </w:tc>
      </w:tr>
    </w:tbl>
    <w:p w:rsidR="00A26629" w:rsidRDefault="00A26629">
      <w:pPr>
        <w:spacing w:after="120"/>
        <w:ind w:rightChars="100" w:right="210"/>
      </w:pPr>
    </w:p>
    <w:p w:rsidR="00A26629" w:rsidRDefault="00444304">
      <w:r>
        <w:t>In this contribution, we will further analyze the details of the solutions for shared processing for broadcast and unicast, including the initiation and the content of MII, and the UE capability reporting.</w:t>
      </w:r>
    </w:p>
    <w:p w:rsidR="00A26629" w:rsidRDefault="00444304">
      <w:pPr>
        <w:pStyle w:val="1"/>
        <w:pBdr>
          <w:top w:val="single" w:sz="12" w:space="2" w:color="auto"/>
        </w:pBdr>
        <w:rPr>
          <w:rFonts w:eastAsia="宋体"/>
        </w:rPr>
      </w:pPr>
      <w:r>
        <w:rPr>
          <w:rFonts w:eastAsia="宋体" w:hint="eastAsia"/>
        </w:rPr>
        <w:t>Discussion</w:t>
      </w:r>
    </w:p>
    <w:p w:rsidR="00A26629" w:rsidRPr="001D52D8" w:rsidRDefault="00444304">
      <w:pPr>
        <w:widowControl/>
        <w:overflowPunct w:val="0"/>
        <w:textAlignment w:val="baseline"/>
        <w:rPr>
          <w:szCs w:val="20"/>
          <w:lang w:val="en-GB"/>
        </w:rPr>
      </w:pPr>
      <w:r w:rsidRPr="001D52D8">
        <w:rPr>
          <w:szCs w:val="20"/>
          <w:lang w:val="en-GB"/>
        </w:rPr>
        <w:t>In RAN2#119</w:t>
      </w:r>
      <w:r w:rsidRPr="001D52D8">
        <w:rPr>
          <w:rFonts w:hint="eastAsia"/>
          <w:szCs w:val="20"/>
          <w:lang w:val="en-GB"/>
        </w:rPr>
        <w:t>bis</w:t>
      </w:r>
      <w:r w:rsidRPr="001D52D8">
        <w:rPr>
          <w:szCs w:val="20"/>
          <w:lang w:val="en-GB"/>
        </w:rPr>
        <w:t xml:space="preserve">-e, it is FFS whether UE capability is needed to enable shared processing. In our understanding, whether supporting receiving broadcast on a non-serving cell in certain SCS and </w:t>
      </w:r>
      <w:r w:rsidRPr="001D52D8">
        <w:rPr>
          <w:rFonts w:hint="eastAsia"/>
          <w:szCs w:val="20"/>
          <w:lang w:val="en-GB"/>
        </w:rPr>
        <w:t>bandw</w:t>
      </w:r>
      <w:r w:rsidRPr="001D52D8">
        <w:rPr>
          <w:szCs w:val="20"/>
          <w:lang w:val="en-GB"/>
        </w:rPr>
        <w:t xml:space="preserve">idth and receiving unicast/multicast on a serving cell simultaneously is based on whether such band combination (BC) is supported by the UE. </w:t>
      </w:r>
    </w:p>
    <w:p w:rsidR="00A26629" w:rsidRPr="001D52D8" w:rsidRDefault="00444304">
      <w:pPr>
        <w:widowControl/>
        <w:overflowPunct w:val="0"/>
        <w:textAlignment w:val="baseline"/>
        <w:rPr>
          <w:szCs w:val="20"/>
          <w:lang w:val="en-GB"/>
        </w:rPr>
      </w:pPr>
      <w:r w:rsidRPr="001D52D8">
        <w:rPr>
          <w:szCs w:val="20"/>
          <w:lang w:val="en-GB"/>
        </w:rPr>
        <w:t>Take the following assumptions as an example:</w:t>
      </w:r>
    </w:p>
    <w:p w:rsidR="00A26629" w:rsidRPr="001D52D8" w:rsidRDefault="00444304">
      <w:pPr>
        <w:widowControl/>
        <w:overflowPunct w:val="0"/>
        <w:textAlignment w:val="baseline"/>
        <w:rPr>
          <w:szCs w:val="20"/>
          <w:lang w:val="en-GB"/>
        </w:rPr>
      </w:pPr>
      <w:r w:rsidRPr="001D52D8">
        <w:rPr>
          <w:szCs w:val="20"/>
          <w:lang w:val="en-GB"/>
        </w:rPr>
        <w:t>1) The UE is configured with Band A for unicast reception,</w:t>
      </w:r>
    </w:p>
    <w:p w:rsidR="00A26629" w:rsidRPr="001D52D8" w:rsidRDefault="00444304">
      <w:pPr>
        <w:widowControl/>
        <w:overflowPunct w:val="0"/>
        <w:textAlignment w:val="baseline"/>
        <w:rPr>
          <w:szCs w:val="20"/>
          <w:lang w:val="en-GB"/>
        </w:rPr>
      </w:pPr>
      <w:r w:rsidRPr="001D52D8">
        <w:rPr>
          <w:szCs w:val="20"/>
          <w:lang w:val="en-GB"/>
        </w:rPr>
        <w:t>2) The UE needs to receive broadcast in Band C,</w:t>
      </w:r>
    </w:p>
    <w:p w:rsidR="00A26629" w:rsidRPr="001D52D8" w:rsidRDefault="00444304">
      <w:pPr>
        <w:widowControl/>
        <w:overflowPunct w:val="0"/>
        <w:textAlignment w:val="baseline"/>
        <w:rPr>
          <w:szCs w:val="20"/>
          <w:lang w:val="en-GB"/>
        </w:rPr>
      </w:pPr>
      <w:r w:rsidRPr="001D52D8">
        <w:rPr>
          <w:szCs w:val="20"/>
          <w:lang w:val="en-GB"/>
        </w:rPr>
        <w:t>3) The UE does not support CA band combination of Band A + Band C,</w:t>
      </w:r>
    </w:p>
    <w:p w:rsidR="00A26629" w:rsidRPr="001D52D8" w:rsidRDefault="00444304">
      <w:pPr>
        <w:widowControl/>
        <w:overflowPunct w:val="0"/>
        <w:textAlignment w:val="baseline"/>
        <w:rPr>
          <w:szCs w:val="20"/>
          <w:lang w:val="en-GB"/>
        </w:rPr>
      </w:pPr>
      <w:r w:rsidRPr="001D52D8">
        <w:rPr>
          <w:szCs w:val="20"/>
          <w:lang w:val="en-GB"/>
        </w:rPr>
        <w:t>4) The UE supports CA band combination of Band B + Band C.</w:t>
      </w:r>
    </w:p>
    <w:p w:rsidR="00A26629" w:rsidRDefault="00444304">
      <w:pPr>
        <w:widowControl/>
        <w:overflowPunct w:val="0"/>
        <w:textAlignment w:val="baseline"/>
        <w:rPr>
          <w:sz w:val="20"/>
          <w:szCs w:val="20"/>
          <w:lang w:val="en-GB"/>
        </w:rPr>
      </w:pPr>
      <w:r w:rsidRPr="001D52D8">
        <w:rPr>
          <w:szCs w:val="20"/>
          <w:lang w:val="en-GB"/>
        </w:rPr>
        <w:t xml:space="preserve">In such case, the serving </w:t>
      </w:r>
      <w:proofErr w:type="spellStart"/>
      <w:r w:rsidRPr="001D52D8">
        <w:rPr>
          <w:szCs w:val="20"/>
          <w:lang w:val="en-GB"/>
        </w:rPr>
        <w:t>gNB</w:t>
      </w:r>
      <w:proofErr w:type="spellEnd"/>
      <w:r w:rsidRPr="001D52D8">
        <w:rPr>
          <w:szCs w:val="20"/>
          <w:lang w:val="en-GB"/>
        </w:rPr>
        <w:t xml:space="preserve"> needs to acquire this kind of BC capability (i.e. including unicast/multicast capabilities in serving cells and broadcast capability in non-serving cells) to enable shared processing of the UE </w:t>
      </w:r>
      <w:r w:rsidRPr="001D52D8">
        <w:rPr>
          <w:szCs w:val="20"/>
          <w:lang w:val="en-GB"/>
        </w:rPr>
        <w:lastRenderedPageBreak/>
        <w:t xml:space="preserve">by configuring and scheduling unicast/multicast properly in serving cells. </w:t>
      </w:r>
      <w:r w:rsidRPr="001D52D8">
        <w:rPr>
          <w:rFonts w:hint="eastAsia"/>
          <w:szCs w:val="20"/>
          <w:lang w:val="en-GB"/>
        </w:rPr>
        <w:t>S</w:t>
      </w:r>
      <w:r w:rsidRPr="001D52D8">
        <w:rPr>
          <w:szCs w:val="20"/>
          <w:lang w:val="en-GB"/>
        </w:rPr>
        <w:t>ince the non-serving cell for broadcast reception may be not synchronised with the serving cells, the supported feature sets in such BC may be not identical to the feature sets of the BC for CA operation. To report the capability for this kind of BC, we think one feasible way is to indicate the non-serving cell broadcast reception capability in per band per BC level (</w:t>
      </w:r>
      <w:r w:rsidRPr="001D52D8">
        <w:rPr>
          <w:rFonts w:hint="eastAsia"/>
          <w:szCs w:val="20"/>
          <w:lang w:val="en-GB"/>
        </w:rPr>
        <w:t>i</w:t>
      </w:r>
      <w:r w:rsidRPr="001D52D8">
        <w:rPr>
          <w:szCs w:val="20"/>
          <w:lang w:val="en-GB"/>
        </w:rPr>
        <w:t xml:space="preserve">.e. in </w:t>
      </w:r>
      <w:proofErr w:type="spellStart"/>
      <w:r w:rsidRPr="001D52D8">
        <w:rPr>
          <w:szCs w:val="20"/>
          <w:lang w:val="en-GB"/>
        </w:rPr>
        <w:t>FeatureSet</w:t>
      </w:r>
      <w:r w:rsidRPr="001D52D8">
        <w:rPr>
          <w:rFonts w:hint="eastAsia"/>
          <w:szCs w:val="20"/>
          <w:lang w:val="en-GB"/>
        </w:rPr>
        <w:t>Dow</w:t>
      </w:r>
      <w:r w:rsidRPr="001D52D8">
        <w:rPr>
          <w:szCs w:val="20"/>
          <w:lang w:val="en-GB"/>
        </w:rPr>
        <w:t>nlink</w:t>
      </w:r>
      <w:proofErr w:type="spellEnd"/>
      <w:r w:rsidRPr="001D52D8">
        <w:rPr>
          <w:szCs w:val="20"/>
          <w:lang w:val="en-GB"/>
        </w:rPr>
        <w:t>) reusing the BC reporting framework. Then separate lines of feature sets could be signalled to indicate the different capability of such BC. As shown in Figure-1, when the non-</w:t>
      </w:r>
      <w:proofErr w:type="spellStart"/>
      <w:r w:rsidRPr="001D52D8">
        <w:rPr>
          <w:szCs w:val="20"/>
          <w:lang w:val="en-GB"/>
        </w:rPr>
        <w:t>servingcell</w:t>
      </w:r>
      <w:proofErr w:type="spellEnd"/>
      <w:r w:rsidRPr="001D52D8">
        <w:rPr>
          <w:szCs w:val="20"/>
          <w:lang w:val="en-GB"/>
        </w:rPr>
        <w:t>-</w:t>
      </w:r>
      <w:proofErr w:type="spellStart"/>
      <w:r w:rsidRPr="001D52D8">
        <w:rPr>
          <w:szCs w:val="20"/>
          <w:lang w:val="en-GB"/>
        </w:rPr>
        <w:t>mbs</w:t>
      </w:r>
      <w:proofErr w:type="spellEnd"/>
      <w:r w:rsidRPr="001D52D8">
        <w:rPr>
          <w:szCs w:val="20"/>
          <w:lang w:val="en-GB"/>
        </w:rPr>
        <w:t xml:space="preserve"> capability is indicated for a feature set of a band (e.g. band C) in one line, then the feature sets for other bands (e.g. band A and band B) in the same line could be used for unicast/multicast transmission simultaneously.</w:t>
      </w:r>
    </w:p>
    <w:p w:rsidR="00A26629" w:rsidRDefault="00444304">
      <w:pPr>
        <w:jc w:val="center"/>
      </w:pPr>
      <w:r>
        <w:t xml:space="preserve">  </w:t>
      </w:r>
      <w:r>
        <w:rPr>
          <w:noProof/>
        </w:rPr>
        <w:drawing>
          <wp:inline distT="0" distB="0" distL="0" distR="0">
            <wp:extent cx="3465830" cy="1823720"/>
            <wp:effectExtent l="0" t="0" r="127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477714" cy="1829958"/>
                    </a:xfrm>
                    <a:prstGeom prst="rect">
                      <a:avLst/>
                    </a:prstGeom>
                  </pic:spPr>
                </pic:pic>
              </a:graphicData>
            </a:graphic>
          </wp:inline>
        </w:drawing>
      </w:r>
    </w:p>
    <w:p w:rsidR="00A26629" w:rsidRDefault="00444304" w:rsidP="00004E30">
      <w:pPr>
        <w:spacing w:afterLines="100" w:after="240"/>
        <w:jc w:val="center"/>
      </w:pPr>
      <w:r>
        <w:t>Figure-1 BC and FSC for unicast in serving cell(s) and broadcast in non-serving cell(s)</w:t>
      </w:r>
    </w:p>
    <w:p w:rsidR="00A26629" w:rsidRDefault="00444304">
      <w:r>
        <w:t xml:space="preserve">In this option, when broadcast reception starts in a non-serving cell, the UE initiates the MII reporting to the serving </w:t>
      </w:r>
      <w:proofErr w:type="spellStart"/>
      <w:r>
        <w:t>gNB</w:t>
      </w:r>
      <w:proofErr w:type="spellEnd"/>
      <w:r>
        <w:t xml:space="preserve"> including the broadcast frequency, SCS, and bandwidth information for non-serving cell broadcast reception. According to the MII reporting by the UE, the serving </w:t>
      </w:r>
      <w:proofErr w:type="spellStart"/>
      <w:r>
        <w:t>gNB</w:t>
      </w:r>
      <w:proofErr w:type="spellEnd"/>
      <w:r>
        <w:t xml:space="preserve"> can decide which feature sets could be used for unicast/multicast transmission in serving cells, and stop the unicast/multicast scheduling in the band used for broadcast reception (e.g. band C). If the current CA BC configuration is not supported with simultaneous unicast and broadcast transmission, the serving </w:t>
      </w:r>
      <w:proofErr w:type="spellStart"/>
      <w:r>
        <w:t>gNB</w:t>
      </w:r>
      <w:proofErr w:type="spellEnd"/>
      <w:r>
        <w:t xml:space="preserve"> could configure a new band combination that can enable simultaneous unicast/multicast and broadcast reception. </w:t>
      </w:r>
    </w:p>
    <w:p w:rsidR="00A26629" w:rsidRDefault="00444304" w:rsidP="00004E30">
      <w:pPr>
        <w:spacing w:beforeLines="50" w:before="120" w:afterLines="100" w:after="240"/>
        <w:rPr>
          <w:b/>
        </w:rPr>
      </w:pPr>
      <w:r>
        <w:rPr>
          <w:b/>
        </w:rPr>
        <w:t xml:space="preserve">Proposal 1: Indicate the capability of receiving MBS broadcast from a non-serving cell in per band per BC level (i.e. in </w:t>
      </w:r>
      <w:bookmarkStart w:id="4" w:name="_GoBack"/>
      <w:proofErr w:type="spellStart"/>
      <w:r w:rsidRPr="001D52D8">
        <w:rPr>
          <w:b/>
          <w:i/>
        </w:rPr>
        <w:t>FeatureSetDownlink</w:t>
      </w:r>
      <w:bookmarkEnd w:id="4"/>
      <w:proofErr w:type="spellEnd"/>
      <w:r>
        <w:rPr>
          <w:b/>
        </w:rPr>
        <w:t>).</w:t>
      </w:r>
    </w:p>
    <w:p w:rsidR="00A26629" w:rsidRDefault="00444304">
      <w:r>
        <w:t xml:space="preserve">In RAN2#119bis-e, it was also agreed that a new IE is added to SIB1 to control whether </w:t>
      </w:r>
      <w:proofErr w:type="spellStart"/>
      <w:r>
        <w:t>MBSInterestIndication</w:t>
      </w:r>
      <w:proofErr w:type="spellEnd"/>
      <w:r>
        <w:t xml:space="preserve"> (MII) for non-serving cell broadcast reception is allowed to be sent or not. A </w:t>
      </w:r>
      <w:proofErr w:type="spellStart"/>
      <w:r>
        <w:t>gNB</w:t>
      </w:r>
      <w:proofErr w:type="spellEnd"/>
      <w:r>
        <w:t xml:space="preserve"> not providing SIB21 can still set the new IE in SIB1 if it is able to support the shared processing case. When the UE supporting non-serving cell reception is provided with the new IE, the UE can initiate MII reporting when the initiation condition is met, even SIB21 is not provided in the </w:t>
      </w:r>
      <w:proofErr w:type="spellStart"/>
      <w:r>
        <w:t>PCell</w:t>
      </w:r>
      <w:proofErr w:type="spellEnd"/>
      <w:r>
        <w:t xml:space="preserve">. In the MII, except for the band/frequency for broadcast reception, additional information including bandwidth and subcarrier spacing (SCS) is allowed to be </w:t>
      </w:r>
      <w:proofErr w:type="spellStart"/>
      <w:r>
        <w:t>signalled</w:t>
      </w:r>
      <w:proofErr w:type="spellEnd"/>
      <w:r>
        <w:t xml:space="preserve">. </w:t>
      </w:r>
    </w:p>
    <w:p w:rsidR="00A26629" w:rsidRDefault="00444304">
      <w:r>
        <w:t xml:space="preserve">However, such additional information may not be not essential for some cases. For example, for intra-PLMN scenario, the serving </w:t>
      </w:r>
      <w:proofErr w:type="spellStart"/>
      <w:r>
        <w:t>gNB</w:t>
      </w:r>
      <w:proofErr w:type="spellEnd"/>
      <w:r>
        <w:t xml:space="preserve"> may be able to acquire such additional information that is used for broadcast reception based on the frequencies indicated by UE. While for inter-PLMN scenario, the network might not know such information based on the indicated frequencies, then such information can be acquired based on MII reporting by the UE. In our view, additional information (e.g. bandwidth, SCS) </w:t>
      </w:r>
      <w:r>
        <w:rPr>
          <w:rFonts w:hint="eastAsia"/>
        </w:rPr>
        <w:t>wil</w:t>
      </w:r>
      <w:r>
        <w:t xml:space="preserve">l be not included in the MII for shared </w:t>
      </w:r>
      <w:r>
        <w:lastRenderedPageBreak/>
        <w:t xml:space="preserve">processing, if it can be derived from the broadcast frequencies by the serving </w:t>
      </w:r>
      <w:proofErr w:type="spellStart"/>
      <w:r>
        <w:t>gNB</w:t>
      </w:r>
      <w:proofErr w:type="spellEnd"/>
      <w:r>
        <w:t>. Whether to include additional information in MII can be controlled by the network for advanced flexibility of the network, as well as for lower complexity from the UE side by avoiding acquiring the additional information from a non-serving cell.</w:t>
      </w:r>
    </w:p>
    <w:p w:rsidR="00A26629" w:rsidRDefault="00444304" w:rsidP="00004E30">
      <w:pPr>
        <w:spacing w:beforeLines="50" w:before="120" w:afterLines="100" w:after="240"/>
        <w:rPr>
          <w:b/>
        </w:rPr>
      </w:pPr>
      <w:r>
        <w:rPr>
          <w:b/>
        </w:rPr>
        <w:t xml:space="preserve">Proposal 2: Whether to include additional information in MII can be controlled by the network.  </w:t>
      </w:r>
    </w:p>
    <w:p w:rsidR="001E33A0" w:rsidRDefault="00444304">
      <w:r>
        <w:t xml:space="preserve">If additional information is needed by the serving </w:t>
      </w:r>
      <w:proofErr w:type="spellStart"/>
      <w:r>
        <w:t>gNB</w:t>
      </w:r>
      <w:proofErr w:type="spellEnd"/>
      <w:r>
        <w:t xml:space="preserve">, at least the bandwidth and the SCS used for broadcast reception should be reported. We understand the MBS broadcast configuration in the non-serving cell should be aligned with that used for serving cell configuration in Rel-17. Then the SCS included in the MII will be the SCS of the initial BWP (i.e. CORESET#0) for the non-serving cell. </w:t>
      </w:r>
    </w:p>
    <w:p w:rsidR="001E33A0" w:rsidRDefault="00344CB1">
      <w:r>
        <w:t>It may be</w:t>
      </w:r>
      <w:r w:rsidR="001F1800">
        <w:t xml:space="preserve"> proposed to include </w:t>
      </w:r>
      <w:r w:rsidR="001E33A0">
        <w:t>cell bandwidth or CFR bandwidth</w:t>
      </w:r>
      <w:r w:rsidR="001F1800">
        <w:t xml:space="preserve"> in the indicated bandwidth in MII</w:t>
      </w:r>
      <w:r w:rsidR="001E33A0">
        <w:t xml:space="preserve">. </w:t>
      </w:r>
      <w:r w:rsidR="001F1800">
        <w:t>However, i</w:t>
      </w:r>
      <w:r w:rsidR="001E33A0">
        <w:t xml:space="preserve">t shall be noted when the UE camps on a cell, the UE </w:t>
      </w:r>
      <w:r>
        <w:t xml:space="preserve">only </w:t>
      </w:r>
      <w:r w:rsidR="001E33A0">
        <w:t xml:space="preserve">needs to support a bandwidth which is larger than </w:t>
      </w:r>
      <w:proofErr w:type="spellStart"/>
      <w:r w:rsidR="001E33A0">
        <w:t>initialBWP</w:t>
      </w:r>
      <w:proofErr w:type="spellEnd"/>
      <w:r w:rsidR="001E33A0">
        <w:t xml:space="preserve"> and smaller than cell </w:t>
      </w:r>
      <w:r w:rsidR="001F1800">
        <w:t>bandwidth</w:t>
      </w:r>
      <w:r w:rsidR="001E33A0">
        <w:t xml:space="preserve"> as below extracted from [38331]:</w:t>
      </w:r>
    </w:p>
    <w:p w:rsidR="001E33A0" w:rsidRDefault="001E33A0"/>
    <w:p w:rsidR="001E33A0" w:rsidRPr="001E33A0" w:rsidRDefault="001E33A0" w:rsidP="001E33A0">
      <w:pPr>
        <w:pStyle w:val="B2"/>
        <w:rPr>
          <w:rFonts w:eastAsia="Times New Roman"/>
          <w:i/>
          <w:sz w:val="20"/>
          <w:szCs w:val="20"/>
        </w:rPr>
      </w:pPr>
      <w:r>
        <w:t xml:space="preserve"> </w:t>
      </w:r>
      <w:r w:rsidRPr="001E33A0">
        <w:rPr>
          <w:i/>
        </w:rPr>
        <w:t>2&gt;</w:t>
      </w:r>
      <w:r w:rsidRPr="001E33A0">
        <w:rPr>
          <w:i/>
        </w:rPr>
        <w:tab/>
        <w:t>if the UE supports an uplink channel bandwidth with a maximum transmission bandwidth configuration (see TS 38.101-1 [15] and TS 38.101-2 [39]) which</w:t>
      </w:r>
    </w:p>
    <w:p w:rsidR="001E33A0" w:rsidRDefault="001E33A0" w:rsidP="001E33A0">
      <w:pPr>
        <w:pStyle w:val="B3"/>
        <w:rPr>
          <w:i/>
        </w:rPr>
      </w:pPr>
      <w:r w:rsidRPr="001E33A0">
        <w:rPr>
          <w:i/>
        </w:rPr>
        <w:t>-</w:t>
      </w:r>
      <w:r w:rsidRPr="001E33A0">
        <w:rPr>
          <w:i/>
        </w:rPr>
        <w:tab/>
      </w:r>
      <w:r w:rsidRPr="001E33A0">
        <w:rPr>
          <w:i/>
          <w:highlight w:val="yellow"/>
        </w:rPr>
        <w:t xml:space="preserve">is smaller than or equal to the </w:t>
      </w:r>
      <w:proofErr w:type="spellStart"/>
      <w:r w:rsidRPr="001E33A0">
        <w:rPr>
          <w:i/>
          <w:highlight w:val="yellow"/>
        </w:rPr>
        <w:t>carrierBandwidth</w:t>
      </w:r>
      <w:proofErr w:type="spellEnd"/>
      <w:r w:rsidRPr="001E33A0">
        <w:rPr>
          <w:i/>
        </w:rPr>
        <w:t xml:space="preserve"> (indicated in </w:t>
      </w:r>
      <w:proofErr w:type="spellStart"/>
      <w:r w:rsidRPr="001E33A0">
        <w:rPr>
          <w:i/>
        </w:rPr>
        <w:t>uplinkConfigCommon</w:t>
      </w:r>
      <w:proofErr w:type="spellEnd"/>
      <w:r w:rsidRPr="001E33A0">
        <w:rPr>
          <w:i/>
        </w:rPr>
        <w:t xml:space="preserve"> for the SCS of the initial uplink BWP or, for </w:t>
      </w:r>
      <w:proofErr w:type="spellStart"/>
      <w:r w:rsidRPr="001E33A0">
        <w:rPr>
          <w:i/>
        </w:rPr>
        <w:t>RedCap</w:t>
      </w:r>
      <w:proofErr w:type="spellEnd"/>
      <w:r w:rsidRPr="001E33A0">
        <w:rPr>
          <w:i/>
        </w:rPr>
        <w:t xml:space="preserve"> UE, of the </w:t>
      </w:r>
      <w:proofErr w:type="spellStart"/>
      <w:r w:rsidRPr="001E33A0">
        <w:rPr>
          <w:i/>
        </w:rPr>
        <w:t>RedCap</w:t>
      </w:r>
      <w:proofErr w:type="spellEnd"/>
      <w:r w:rsidRPr="001E33A0">
        <w:rPr>
          <w:i/>
        </w:rPr>
        <w:t>-specific initial uplink BWP if configured), and which</w:t>
      </w:r>
    </w:p>
    <w:p w:rsidR="001E33A0" w:rsidRPr="001E33A0" w:rsidRDefault="001E33A0" w:rsidP="001E33A0">
      <w:pPr>
        <w:pStyle w:val="B3"/>
        <w:rPr>
          <w:i/>
        </w:rPr>
      </w:pPr>
      <w:r w:rsidRPr="001E33A0">
        <w:rPr>
          <w:i/>
        </w:rPr>
        <w:t>-</w:t>
      </w:r>
      <w:r w:rsidRPr="001E33A0">
        <w:rPr>
          <w:i/>
        </w:rPr>
        <w:tab/>
      </w:r>
      <w:r w:rsidRPr="001E33A0">
        <w:rPr>
          <w:i/>
          <w:highlight w:val="yellow"/>
        </w:rPr>
        <w:t>is wider than or equal to the bandwidth of the initial uplink BWP</w:t>
      </w:r>
      <w:r w:rsidRPr="001E33A0">
        <w:rPr>
          <w:i/>
        </w:rPr>
        <w:t xml:space="preserve"> or, for </w:t>
      </w:r>
      <w:proofErr w:type="spellStart"/>
      <w:r w:rsidRPr="001E33A0">
        <w:rPr>
          <w:i/>
        </w:rPr>
        <w:t>RedCap</w:t>
      </w:r>
      <w:proofErr w:type="spellEnd"/>
      <w:r w:rsidRPr="001E33A0">
        <w:rPr>
          <w:i/>
        </w:rPr>
        <w:t xml:space="preserve"> UE, of the </w:t>
      </w:r>
      <w:proofErr w:type="spellStart"/>
      <w:r w:rsidRPr="001E33A0">
        <w:rPr>
          <w:i/>
        </w:rPr>
        <w:t>RedCap</w:t>
      </w:r>
      <w:proofErr w:type="spellEnd"/>
      <w:r w:rsidRPr="001E33A0">
        <w:rPr>
          <w:i/>
        </w:rPr>
        <w:t>-specific initial uplink BWP if configured, and</w:t>
      </w:r>
    </w:p>
    <w:p w:rsidR="001E33A0" w:rsidRPr="001E33A0" w:rsidRDefault="001E33A0" w:rsidP="001E33A0">
      <w:pPr>
        <w:pStyle w:val="B3"/>
        <w:rPr>
          <w:rFonts w:eastAsia="MS Mincho"/>
          <w:i/>
        </w:rPr>
      </w:pPr>
    </w:p>
    <w:p w:rsidR="001E33A0" w:rsidRPr="001E33A0" w:rsidRDefault="001E33A0">
      <w:pPr>
        <w:rPr>
          <w:i/>
        </w:rPr>
      </w:pPr>
      <w:r>
        <w:t xml:space="preserve">Therefore, when the UE performs broadcast reception, the </w:t>
      </w:r>
      <w:r w:rsidR="00444304">
        <w:t>indicated bandwidth can be the channel bandwidth used by the UE for broadcast reception in the non-serving cell, which covers the broadcast CFR bandwidth and no more than the carrier bandwidth of the non-serving cell.</w:t>
      </w:r>
      <w:r w:rsidR="00344CB1">
        <w:t xml:space="preserve"> This will give NW more precise information about how much processing capability can be left to unicast/multicast scheduling. </w:t>
      </w:r>
    </w:p>
    <w:p w:rsidR="00A26629" w:rsidRDefault="00444304" w:rsidP="00004E30">
      <w:pPr>
        <w:spacing w:beforeLines="50" w:before="120" w:afterLines="50" w:after="120"/>
        <w:rPr>
          <w:b/>
        </w:rPr>
      </w:pPr>
      <w:r>
        <w:rPr>
          <w:b/>
        </w:rPr>
        <w:t>Proposal 3: The SCS indicated in the MII is the same as the SCS of the initial BWP for the non-serving cell where the UE intends to receive MBS broadcast.</w:t>
      </w:r>
    </w:p>
    <w:p w:rsidR="00A26629" w:rsidRDefault="00444304" w:rsidP="00004E30">
      <w:pPr>
        <w:spacing w:afterLines="100" w:after="240"/>
        <w:rPr>
          <w:b/>
        </w:rPr>
      </w:pPr>
      <w:r>
        <w:rPr>
          <w:b/>
        </w:rPr>
        <w:t>Proposal 4: The bandwidth indicated in the MII is the channel bandwidth used by the UE for broadcast reception in the non-serving cell, which covers the CFR bandwidth.</w:t>
      </w:r>
    </w:p>
    <w:p w:rsidR="001E33A0" w:rsidRDefault="001E33A0" w:rsidP="001E33A0">
      <w:pPr>
        <w:jc w:val="center"/>
      </w:pPr>
      <w:r>
        <w:rPr>
          <w:noProof/>
        </w:rPr>
        <w:drawing>
          <wp:inline distT="0" distB="0" distL="0" distR="0" wp14:anchorId="7B60C026" wp14:editId="49B85B27">
            <wp:extent cx="5507642" cy="14979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12295" cy="1499231"/>
                    </a:xfrm>
                    <a:prstGeom prst="rect">
                      <a:avLst/>
                    </a:prstGeom>
                  </pic:spPr>
                </pic:pic>
              </a:graphicData>
            </a:graphic>
          </wp:inline>
        </w:drawing>
      </w:r>
    </w:p>
    <w:p w:rsidR="001E33A0" w:rsidRPr="001E33A0" w:rsidRDefault="001E33A0" w:rsidP="001E33A0">
      <w:pPr>
        <w:spacing w:afterLines="100" w:after="240"/>
        <w:jc w:val="center"/>
        <w:rPr>
          <w:b/>
        </w:rPr>
      </w:pPr>
      <w:r>
        <w:rPr>
          <w:rFonts w:hint="eastAsia"/>
        </w:rPr>
        <w:t>F</w:t>
      </w:r>
      <w:r>
        <w:t xml:space="preserve">igure-2 UE capability parameters within </w:t>
      </w:r>
      <w:proofErr w:type="spellStart"/>
      <w:r>
        <w:t>FeatureSetDownlinkPerCC</w:t>
      </w:r>
      <w:proofErr w:type="spellEnd"/>
    </w:p>
    <w:p w:rsidR="001F1800" w:rsidRDefault="001E33A0">
      <w:r>
        <w:lastRenderedPageBreak/>
        <w:t xml:space="preserve">To assist the </w:t>
      </w:r>
      <w:proofErr w:type="spellStart"/>
      <w:r>
        <w:t>gNB</w:t>
      </w:r>
      <w:proofErr w:type="spellEnd"/>
      <w:r>
        <w:t xml:space="preserve"> </w:t>
      </w:r>
      <w:r w:rsidR="00344CB1">
        <w:t>to select</w:t>
      </w:r>
      <w:r>
        <w:t xml:space="preserve"> a feature set of a band for broadcast reception, the </w:t>
      </w:r>
      <w:proofErr w:type="spellStart"/>
      <w:r>
        <w:t>gNB</w:t>
      </w:r>
      <w:proofErr w:type="spellEnd"/>
      <w:r>
        <w:t xml:space="preserve"> needs to know the required bandwidth/SCS/MIMO layer/MCS </w:t>
      </w:r>
      <w:r w:rsidR="001F1800">
        <w:t xml:space="preserve">for broadcast </w:t>
      </w:r>
      <w:r>
        <w:t xml:space="preserve">as show in the figure above. Since the MIMO layer for broadcast is fixed to be 1 layer, </w:t>
      </w:r>
      <w:r w:rsidR="00344CB1">
        <w:t>it is not needed to be indicated for Feature set selection. Besides</w:t>
      </w:r>
      <w:r w:rsidR="00444304">
        <w:t xml:space="preserve"> the bandwidth and the SCS, we think modulation order is another helpful parameter to be included in the MII, for the serving </w:t>
      </w:r>
      <w:proofErr w:type="spellStart"/>
      <w:r w:rsidR="00444304">
        <w:t>gNB</w:t>
      </w:r>
      <w:proofErr w:type="spellEnd"/>
      <w:r w:rsidR="00444304">
        <w:t xml:space="preserve"> to know the feature set used for broadcast reception </w:t>
      </w:r>
      <w:r w:rsidR="00344CB1">
        <w:t xml:space="preserve">more </w:t>
      </w:r>
      <w:r w:rsidR="00444304">
        <w:t>accurately. For example, the modulation order indicated in MTCH DCI received from the non-serving cell could be included in the MII</w:t>
      </w:r>
      <w:r w:rsidR="001F1800">
        <w:t xml:space="preserve"> given the modulation order for broadcast is usually not dynamic changed in each scheduling occasion</w:t>
      </w:r>
      <w:r w:rsidR="00444304">
        <w:t>.</w:t>
      </w:r>
    </w:p>
    <w:p w:rsidR="00A26629" w:rsidRDefault="00444304">
      <w:pPr>
        <w:rPr>
          <w:b/>
        </w:rPr>
      </w:pPr>
      <w:r>
        <w:rPr>
          <w:b/>
        </w:rPr>
        <w:t>Proposal 5: Include modulation order in the MII for shared processing.</w:t>
      </w:r>
    </w:p>
    <w:p w:rsidR="00A26629" w:rsidRPr="00004E30" w:rsidRDefault="00444304" w:rsidP="00004E30">
      <w:pPr>
        <w:pStyle w:val="1"/>
        <w:pBdr>
          <w:top w:val="single" w:sz="12" w:space="2" w:color="auto"/>
        </w:pBdr>
        <w:rPr>
          <w:rFonts w:eastAsia="宋体"/>
        </w:rPr>
      </w:pPr>
      <w:r w:rsidRPr="00004E30">
        <w:rPr>
          <w:rFonts w:eastAsia="宋体"/>
        </w:rPr>
        <w:t>Conclusion</w:t>
      </w:r>
    </w:p>
    <w:p w:rsidR="00A26629" w:rsidRDefault="00444304">
      <w:r>
        <w:t>In this contribution, we provide our analysis on the issues brought by the shared processing of unicast and MBS broadcast. Our proposals are as follows:</w:t>
      </w:r>
    </w:p>
    <w:p w:rsidR="00A26629" w:rsidRDefault="00444304" w:rsidP="00004E30">
      <w:pPr>
        <w:spacing w:beforeLines="50" w:before="120"/>
        <w:rPr>
          <w:b/>
        </w:rPr>
      </w:pPr>
      <w:r>
        <w:rPr>
          <w:b/>
        </w:rPr>
        <w:t xml:space="preserve">Proposal 1: Indicate the capability of receiving MBS broadcast from a non-serving cell in per band per BC level (i.e. in </w:t>
      </w:r>
      <w:proofErr w:type="spellStart"/>
      <w:r w:rsidRPr="001D52D8">
        <w:rPr>
          <w:b/>
          <w:i/>
        </w:rPr>
        <w:t>FeatureSetDownlink</w:t>
      </w:r>
      <w:proofErr w:type="spellEnd"/>
      <w:r>
        <w:rPr>
          <w:b/>
        </w:rPr>
        <w:t>).</w:t>
      </w:r>
    </w:p>
    <w:p w:rsidR="00A26629" w:rsidRDefault="00444304" w:rsidP="00004E30">
      <w:pPr>
        <w:spacing w:beforeLines="50" w:before="120"/>
        <w:rPr>
          <w:b/>
        </w:rPr>
      </w:pPr>
      <w:r>
        <w:rPr>
          <w:b/>
        </w:rPr>
        <w:t>Proposal 2: Whether to include additional information in MII can be controlled by the network.</w:t>
      </w:r>
    </w:p>
    <w:p w:rsidR="00A26629" w:rsidRDefault="00444304" w:rsidP="00004E30">
      <w:pPr>
        <w:spacing w:beforeLines="50" w:before="120"/>
        <w:rPr>
          <w:b/>
        </w:rPr>
      </w:pPr>
      <w:r>
        <w:rPr>
          <w:b/>
        </w:rPr>
        <w:t>Proposal 3: The SCS indicated in the MII is the same as the SCS of the initial BWP for the non-serving cell where the UE intends to receive MBS broadcast.</w:t>
      </w:r>
    </w:p>
    <w:p w:rsidR="00A26629" w:rsidRDefault="00444304" w:rsidP="00004E30">
      <w:pPr>
        <w:spacing w:beforeLines="50" w:before="120"/>
        <w:rPr>
          <w:b/>
        </w:rPr>
      </w:pPr>
      <w:r>
        <w:rPr>
          <w:b/>
        </w:rPr>
        <w:t>Proposal 4: The bandwidth indicated in the MII is the channel bandwidth used by the UE for broadcast reception in the non-serving cell, which covers the CFR bandwidth.</w:t>
      </w:r>
    </w:p>
    <w:p w:rsidR="00A26629" w:rsidRDefault="00444304" w:rsidP="00004E30">
      <w:pPr>
        <w:spacing w:beforeLines="50" w:before="120"/>
      </w:pPr>
      <w:r>
        <w:rPr>
          <w:b/>
        </w:rPr>
        <w:t>Proposal 5: Include modulation order in the MII for shared processing.</w:t>
      </w:r>
    </w:p>
    <w:p w:rsidR="00A26629" w:rsidRPr="00004E30" w:rsidRDefault="00444304" w:rsidP="00004E30">
      <w:pPr>
        <w:pStyle w:val="1"/>
        <w:pBdr>
          <w:top w:val="single" w:sz="12" w:space="2" w:color="auto"/>
        </w:pBdr>
        <w:rPr>
          <w:rFonts w:eastAsia="宋体"/>
        </w:rPr>
      </w:pPr>
      <w:r w:rsidRPr="00004E30">
        <w:rPr>
          <w:rFonts w:eastAsia="宋体"/>
        </w:rPr>
        <w:t>References</w:t>
      </w:r>
    </w:p>
    <w:p w:rsidR="00A26629" w:rsidRDefault="00444304">
      <w:pPr>
        <w:numPr>
          <w:ilvl w:val="0"/>
          <w:numId w:val="9"/>
        </w:numPr>
        <w:rPr>
          <w:rFonts w:eastAsia="MS Mincho"/>
          <w:lang w:eastAsia="ja-JP"/>
        </w:rPr>
      </w:pPr>
      <w:r>
        <w:t>RP-213568, New WID: Enhancements of NR Multicast and Broadcast Services</w:t>
      </w:r>
    </w:p>
    <w:sectPr w:rsidR="00A2662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953" w:rsidRDefault="00AC2953">
      <w:r>
        <w:separator/>
      </w:r>
    </w:p>
  </w:endnote>
  <w:endnote w:type="continuationSeparator" w:id="0">
    <w:p w:rsidR="00AC2953" w:rsidRDefault="00AC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629" w:rsidRDefault="00444304">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953" w:rsidRDefault="00AC2953">
      <w:r>
        <w:separator/>
      </w:r>
    </w:p>
  </w:footnote>
  <w:footnote w:type="continuationSeparator" w:id="0">
    <w:p w:rsidR="00AC2953" w:rsidRDefault="00AC2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0554CAE"/>
    <w:multiLevelType w:val="multilevel"/>
    <w:tmpl w:val="10554CAE"/>
    <w:lvl w:ilvl="0">
      <w:start w:val="1"/>
      <w:numFmt w:val="bullet"/>
      <w:pStyle w:val="PL"/>
      <w:lvlText w:val=""/>
      <w:lvlJc w:val="left"/>
      <w:pPr>
        <w:ind w:left="420" w:hanging="420"/>
      </w:pPr>
      <w:rPr>
        <w:rFonts w:ascii="Symbol" w:hAnsi="Symbol" w:hint="default"/>
        <w:b/>
        <w:i w:val="0"/>
        <w:color w:val="auto"/>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b w:val="0"/>
        <w:sz w:val="32"/>
        <w:szCs w:val="32"/>
      </w:rPr>
    </w:lvl>
    <w:lvl w:ilvl="2">
      <w:start w:val="1"/>
      <w:numFmt w:val="decimal"/>
      <w:lvlText w:val="%1.%2.%3"/>
      <w:lvlJc w:val="left"/>
      <w:pPr>
        <w:tabs>
          <w:tab w:val="left" w:pos="0"/>
        </w:tabs>
        <w:ind w:left="0" w:firstLine="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59D217B"/>
    <w:multiLevelType w:val="multilevel"/>
    <w:tmpl w:val="259D217B"/>
    <w:lvl w:ilvl="0">
      <w:start w:val="1"/>
      <w:numFmt w:val="decimal"/>
      <w:lvlText w:val="[%1]"/>
      <w:lvlJc w:val="left"/>
      <w:pPr>
        <w:tabs>
          <w:tab w:val="left" w:pos="454"/>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4B28A8"/>
    <w:multiLevelType w:val="multilevel"/>
    <w:tmpl w:val="3D4B28A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2"/>
  </w:num>
  <w:num w:numId="3">
    <w:abstractNumId w:val="11"/>
  </w:num>
  <w:num w:numId="4">
    <w:abstractNumId w:val="15"/>
  </w:num>
  <w:num w:numId="5">
    <w:abstractNumId w:val="12"/>
  </w:num>
  <w:num w:numId="6">
    <w:abstractNumId w:val="8"/>
  </w:num>
  <w:num w:numId="7">
    <w:abstractNumId w:val="10"/>
  </w:num>
  <w:num w:numId="8">
    <w:abstractNumId w:val="13"/>
  </w:num>
  <w:num w:numId="9">
    <w:abstractNumId w:val="5"/>
  </w:num>
  <w:num w:numId="10">
    <w:abstractNumId w:val="19"/>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9"/>
  </w:num>
  <w:num w:numId="16">
    <w:abstractNumId w:val="0"/>
  </w:num>
  <w:num w:numId="17">
    <w:abstractNumId w:val="6"/>
  </w:num>
  <w:num w:numId="18">
    <w:abstractNumId w:val="16"/>
  </w:num>
  <w:num w:numId="19">
    <w:abstractNumId w:val="20"/>
  </w:num>
  <w:num w:numId="20">
    <w:abstractNumId w:val="1"/>
  </w:num>
  <w:num w:numId="21">
    <w:abstractNumId w:val="1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BC3F68DF"/>
    <w:rsid w:val="EFF35CF0"/>
    <w:rsid w:val="FBD9C4D5"/>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E30"/>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2DE"/>
    <w:rsid w:val="00032561"/>
    <w:rsid w:val="000326D1"/>
    <w:rsid w:val="000326E2"/>
    <w:rsid w:val="00032C27"/>
    <w:rsid w:val="00032E84"/>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A4A"/>
    <w:rsid w:val="00122B8C"/>
    <w:rsid w:val="00123389"/>
    <w:rsid w:val="001246DE"/>
    <w:rsid w:val="00124800"/>
    <w:rsid w:val="00124CBE"/>
    <w:rsid w:val="00124D4C"/>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473"/>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74"/>
    <w:rsid w:val="001A1A9E"/>
    <w:rsid w:val="001A2071"/>
    <w:rsid w:val="001A251E"/>
    <w:rsid w:val="001A2DDC"/>
    <w:rsid w:val="001A3397"/>
    <w:rsid w:val="001A3E3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C1C"/>
    <w:rsid w:val="001A7F63"/>
    <w:rsid w:val="001B044D"/>
    <w:rsid w:val="001B0458"/>
    <w:rsid w:val="001B0EA4"/>
    <w:rsid w:val="001B0F5B"/>
    <w:rsid w:val="001B14C1"/>
    <w:rsid w:val="001B15B6"/>
    <w:rsid w:val="001B1677"/>
    <w:rsid w:val="001B19C8"/>
    <w:rsid w:val="001B1DC8"/>
    <w:rsid w:val="001B1EDD"/>
    <w:rsid w:val="001B2B27"/>
    <w:rsid w:val="001B3024"/>
    <w:rsid w:val="001B30D8"/>
    <w:rsid w:val="001B324C"/>
    <w:rsid w:val="001B32FB"/>
    <w:rsid w:val="001B3BC3"/>
    <w:rsid w:val="001B4001"/>
    <w:rsid w:val="001B459C"/>
    <w:rsid w:val="001B4B14"/>
    <w:rsid w:val="001B4C4E"/>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2D8"/>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3E2"/>
    <w:rsid w:val="001E14F0"/>
    <w:rsid w:val="001E1748"/>
    <w:rsid w:val="001E19B1"/>
    <w:rsid w:val="001E19CB"/>
    <w:rsid w:val="001E1B9D"/>
    <w:rsid w:val="001E2050"/>
    <w:rsid w:val="001E25C6"/>
    <w:rsid w:val="001E2D07"/>
    <w:rsid w:val="001E2D45"/>
    <w:rsid w:val="001E325B"/>
    <w:rsid w:val="001E33A0"/>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00"/>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5FB"/>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39F"/>
    <w:rsid w:val="00221594"/>
    <w:rsid w:val="002218AB"/>
    <w:rsid w:val="002219B6"/>
    <w:rsid w:val="002219F0"/>
    <w:rsid w:val="00221DF4"/>
    <w:rsid w:val="00222648"/>
    <w:rsid w:val="00222AC9"/>
    <w:rsid w:val="00222AD6"/>
    <w:rsid w:val="00222EA2"/>
    <w:rsid w:val="0022305D"/>
    <w:rsid w:val="0022322A"/>
    <w:rsid w:val="0022339D"/>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F5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4BD2"/>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544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8E8"/>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4CB1"/>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3EA"/>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5DB7"/>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802"/>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1FA5"/>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7D1"/>
    <w:rsid w:val="004428C3"/>
    <w:rsid w:val="00442B47"/>
    <w:rsid w:val="00442DA2"/>
    <w:rsid w:val="00442FA8"/>
    <w:rsid w:val="004431B5"/>
    <w:rsid w:val="004442A4"/>
    <w:rsid w:val="0044430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3D1E"/>
    <w:rsid w:val="00494714"/>
    <w:rsid w:val="004948FB"/>
    <w:rsid w:val="00494B01"/>
    <w:rsid w:val="00494FA2"/>
    <w:rsid w:val="004950C3"/>
    <w:rsid w:val="0049536B"/>
    <w:rsid w:val="00495418"/>
    <w:rsid w:val="004954F7"/>
    <w:rsid w:val="00495749"/>
    <w:rsid w:val="0049593C"/>
    <w:rsid w:val="00495A00"/>
    <w:rsid w:val="00495ABB"/>
    <w:rsid w:val="00495D6C"/>
    <w:rsid w:val="00495E61"/>
    <w:rsid w:val="00497315"/>
    <w:rsid w:val="00497481"/>
    <w:rsid w:val="00497877"/>
    <w:rsid w:val="00497EB4"/>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0B9"/>
    <w:rsid w:val="004D6363"/>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A68"/>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74B"/>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47B"/>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1E3"/>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067"/>
    <w:rsid w:val="005E614E"/>
    <w:rsid w:val="005E659E"/>
    <w:rsid w:val="005E6A61"/>
    <w:rsid w:val="005E6A78"/>
    <w:rsid w:val="005E7122"/>
    <w:rsid w:val="005E740F"/>
    <w:rsid w:val="005E7BE7"/>
    <w:rsid w:val="005E7F0C"/>
    <w:rsid w:val="005F0253"/>
    <w:rsid w:val="005F04DA"/>
    <w:rsid w:val="005F0514"/>
    <w:rsid w:val="005F060D"/>
    <w:rsid w:val="005F0807"/>
    <w:rsid w:val="005F14B2"/>
    <w:rsid w:val="005F1E65"/>
    <w:rsid w:val="005F1E9C"/>
    <w:rsid w:val="005F1ED2"/>
    <w:rsid w:val="005F202B"/>
    <w:rsid w:val="005F2034"/>
    <w:rsid w:val="005F2545"/>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A3"/>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955"/>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6B26"/>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2CE"/>
    <w:rsid w:val="00662717"/>
    <w:rsid w:val="0066277B"/>
    <w:rsid w:val="006627E7"/>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1D2B"/>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B98"/>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1D9"/>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4E90"/>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0D2"/>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3C1"/>
    <w:rsid w:val="007A7ACB"/>
    <w:rsid w:val="007B0BEC"/>
    <w:rsid w:val="007B138C"/>
    <w:rsid w:val="007B13AA"/>
    <w:rsid w:val="007B221C"/>
    <w:rsid w:val="007B2851"/>
    <w:rsid w:val="007B291C"/>
    <w:rsid w:val="007B34A4"/>
    <w:rsid w:val="007B35FA"/>
    <w:rsid w:val="007B3E89"/>
    <w:rsid w:val="007B40BB"/>
    <w:rsid w:val="007B4C4A"/>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29"/>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5FF"/>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89E"/>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21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2F28"/>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1AAF"/>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29E"/>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3DC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059"/>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6C85"/>
    <w:rsid w:val="009C709E"/>
    <w:rsid w:val="009C7105"/>
    <w:rsid w:val="009C7278"/>
    <w:rsid w:val="009C727B"/>
    <w:rsid w:val="009C77EC"/>
    <w:rsid w:val="009C7A92"/>
    <w:rsid w:val="009C7BFA"/>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5956"/>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629"/>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985"/>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953"/>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2717"/>
    <w:rsid w:val="00B43516"/>
    <w:rsid w:val="00B437D3"/>
    <w:rsid w:val="00B43EC2"/>
    <w:rsid w:val="00B43ED0"/>
    <w:rsid w:val="00B440F1"/>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17A60"/>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CDF"/>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93F"/>
    <w:rsid w:val="00C629C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272"/>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1C0"/>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9FD"/>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6FB1"/>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3C90"/>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1F08"/>
    <w:rsid w:val="00DE221F"/>
    <w:rsid w:val="00DE22A7"/>
    <w:rsid w:val="00DE22AE"/>
    <w:rsid w:val="00DE285D"/>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17D91"/>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67"/>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39"/>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32"/>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0EE"/>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 w:val="3BBFFA62"/>
    <w:rsid w:val="5ECC4439"/>
    <w:rsid w:val="5FFD267D"/>
    <w:rsid w:val="6FDB0801"/>
    <w:rsid w:val="7D7F6A45"/>
    <w:rsid w:val="7FE7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39204EE-AFB9-4322-AAEB-EABA9AC1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index heading" w:semiHidden="1" w:qFormat="1"/>
    <w:lsdException w:name="caption" w:qFormat="1"/>
    <w:lsdException w:name="table of figures" w:semiHidden="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uiPriority="99"/>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D52D8"/>
    <w:pPr>
      <w:widowControl w:val="0"/>
      <w:autoSpaceDE w:val="0"/>
      <w:autoSpaceDN w:val="0"/>
      <w:adjustRightInd w:val="0"/>
      <w:spacing w:line="360" w:lineRule="auto"/>
    </w:pPr>
    <w:rPr>
      <w:rFonts w:eastAsia="宋体"/>
      <w:snapToGrid w:val="0"/>
      <w:sz w:val="21"/>
      <w:szCs w:val="21"/>
    </w:rPr>
  </w:style>
  <w:style w:type="paragraph" w:styleId="1">
    <w:name w:val="heading 1"/>
    <w:next w:val="2"/>
    <w:link w:val="1Char"/>
    <w:qFormat/>
    <w:rsid w:val="001D52D8"/>
    <w:pPr>
      <w:keepNext/>
      <w:numPr>
        <w:numId w:val="21"/>
      </w:numPr>
      <w:spacing w:before="240" w:after="240"/>
      <w:jc w:val="both"/>
      <w:outlineLvl w:val="0"/>
    </w:pPr>
    <w:rPr>
      <w:rFonts w:ascii="Arial" w:eastAsia="黑体" w:hAnsi="Arial"/>
      <w:b/>
      <w:sz w:val="32"/>
      <w:szCs w:val="32"/>
    </w:rPr>
  </w:style>
  <w:style w:type="paragraph" w:styleId="2">
    <w:name w:val="heading 2"/>
    <w:next w:val="a2"/>
    <w:link w:val="2Char"/>
    <w:qFormat/>
    <w:rsid w:val="001D52D8"/>
    <w:pPr>
      <w:keepNext/>
      <w:numPr>
        <w:ilvl w:val="1"/>
        <w:numId w:val="21"/>
      </w:numPr>
      <w:spacing w:before="240" w:after="240"/>
      <w:jc w:val="both"/>
      <w:outlineLvl w:val="1"/>
    </w:pPr>
    <w:rPr>
      <w:rFonts w:ascii="Arial" w:eastAsia="黑体" w:hAnsi="Arial"/>
      <w:sz w:val="24"/>
      <w:szCs w:val="24"/>
    </w:rPr>
  </w:style>
  <w:style w:type="paragraph" w:styleId="3">
    <w:name w:val="heading 3"/>
    <w:basedOn w:val="a2"/>
    <w:next w:val="a2"/>
    <w:link w:val="3Char"/>
    <w:qFormat/>
    <w:rsid w:val="001D52D8"/>
    <w:pPr>
      <w:keepNext/>
      <w:keepLines/>
      <w:numPr>
        <w:ilvl w:val="2"/>
        <w:numId w:val="21"/>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2"/>
    <w:link w:val="4Char"/>
    <w:qFormat/>
    <w:pPr>
      <w:numPr>
        <w:ilvl w:val="0"/>
        <w:numId w:val="0"/>
      </w:numPr>
      <w:tabs>
        <w:tab w:val="num" w:pos="567"/>
        <w:tab w:val="num" w:pos="720"/>
      </w:tabs>
      <w:ind w:left="720" w:hanging="720"/>
      <w:outlineLvl w:val="3"/>
    </w:pPr>
  </w:style>
  <w:style w:type="paragraph" w:styleId="5">
    <w:name w:val="heading 5"/>
    <w:basedOn w:val="4"/>
    <w:next w:val="a2"/>
    <w:qFormat/>
    <w:pPr>
      <w:tabs>
        <w:tab w:val="clear" w:pos="567"/>
        <w:tab w:val="num" w:pos="432"/>
      </w:tabs>
      <w:outlineLvl w:val="4"/>
    </w:pPr>
    <w:rPr>
      <w:sz w:val="22"/>
    </w:rPr>
  </w:style>
  <w:style w:type="paragraph" w:styleId="6">
    <w:name w:val="heading 6"/>
    <w:basedOn w:val="H6"/>
    <w:next w:val="a2"/>
    <w:qFormat/>
    <w:pPr>
      <w:numPr>
        <w:ilvl w:val="4"/>
        <w:numId w:val="1"/>
      </w:numPr>
      <w:tabs>
        <w:tab w:val="left" w:pos="397"/>
      </w:tabs>
      <w:outlineLvl w:val="5"/>
    </w:pPr>
  </w:style>
  <w:style w:type="paragraph" w:styleId="7">
    <w:name w:val="heading 7"/>
    <w:basedOn w:val="H6"/>
    <w:next w:val="a2"/>
    <w:qFormat/>
    <w:pPr>
      <w:tabs>
        <w:tab w:val="left" w:pos="397"/>
        <w:tab w:val="left" w:pos="1499"/>
      </w:tabs>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1D52D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D52D8"/>
  </w:style>
  <w:style w:type="paragraph" w:customStyle="1" w:styleId="H6">
    <w:name w:val="H6"/>
    <w:basedOn w:val="5"/>
    <w:next w:val="a2"/>
    <w:semiHidden/>
    <w:pPr>
      <w:ind w:left="1985" w:hanging="1985"/>
      <w:outlineLvl w:val="9"/>
    </w:pPr>
    <w:rPr>
      <w:sz w:val="20"/>
    </w:rPr>
  </w:style>
  <w:style w:type="paragraph" w:styleId="30">
    <w:name w:val="List 3"/>
    <w:basedOn w:val="20"/>
    <w:semiHidden/>
    <w:pPr>
      <w:ind w:left="1135"/>
    </w:pPr>
  </w:style>
  <w:style w:type="paragraph" w:styleId="20">
    <w:name w:val="List 2"/>
    <w:basedOn w:val="a6"/>
    <w:semiHidden/>
    <w:pPr>
      <w:ind w:left="851"/>
    </w:pPr>
  </w:style>
  <w:style w:type="paragraph" w:styleId="a6">
    <w:name w:val="List"/>
    <w:basedOn w:val="a2"/>
    <w:semiHidden/>
    <w:pPr>
      <w:ind w:left="568" w:hanging="284"/>
    </w:pPr>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0"/>
    <w:next w:val="a2"/>
    <w:semiHidden/>
    <w:pPr>
      <w:ind w:left="1701" w:hanging="1701"/>
    </w:pPr>
  </w:style>
  <w:style w:type="paragraph" w:styleId="40">
    <w:name w:val="toc 4"/>
    <w:basedOn w:val="31"/>
    <w:next w:val="a2"/>
    <w:semiHidden/>
    <w:pPr>
      <w:ind w:left="1418" w:hanging="1418"/>
    </w:pPr>
  </w:style>
  <w:style w:type="paragraph" w:styleId="31">
    <w:name w:val="toc 3"/>
    <w:basedOn w:val="21"/>
    <w:next w:val="a2"/>
    <w:semiHidden/>
    <w:pPr>
      <w:ind w:left="1134" w:hanging="1134"/>
    </w:pPr>
  </w:style>
  <w:style w:type="paragraph" w:styleId="21">
    <w:name w:val="toc 2"/>
    <w:basedOn w:val="10"/>
    <w:next w:val="a2"/>
    <w:semiHidden/>
    <w:qFormat/>
    <w:pPr>
      <w:spacing w:before="0"/>
      <w:ind w:left="851" w:hanging="851"/>
    </w:pPr>
    <w:rPr>
      <w:sz w:val="20"/>
    </w:rPr>
  </w:style>
  <w:style w:type="paragraph" w:styleId="10">
    <w:name w:val="toc 1"/>
    <w:next w:val="a2"/>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7"/>
    <w:semiHidden/>
    <w:pPr>
      <w:ind w:left="851"/>
    </w:pPr>
  </w:style>
  <w:style w:type="paragraph" w:styleId="a7">
    <w:name w:val="List Number"/>
    <w:basedOn w:val="a6"/>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8"/>
    <w:semiHidden/>
    <w:pPr>
      <w:ind w:left="851"/>
    </w:pPr>
  </w:style>
  <w:style w:type="paragraph" w:styleId="a8">
    <w:name w:val="List Bullet"/>
    <w:basedOn w:val="a6"/>
    <w:semiHidden/>
  </w:style>
  <w:style w:type="paragraph" w:styleId="a9">
    <w:name w:val="caption"/>
    <w:basedOn w:val="a2"/>
    <w:next w:val="a2"/>
    <w:link w:val="Char"/>
    <w:qFormat/>
    <w:pPr>
      <w:spacing w:before="120" w:after="120"/>
    </w:pPr>
    <w:rPr>
      <w:b/>
    </w:rPr>
  </w:style>
  <w:style w:type="paragraph" w:styleId="aa">
    <w:name w:val="Document Map"/>
    <w:basedOn w:val="a2"/>
    <w:semiHidden/>
    <w:pPr>
      <w:shd w:val="clear" w:color="auto" w:fill="000080"/>
    </w:pPr>
    <w:rPr>
      <w:rFonts w:ascii="Tahoma" w:hAnsi="Tahoma"/>
    </w:rPr>
  </w:style>
  <w:style w:type="paragraph" w:styleId="ab">
    <w:name w:val="annotation text"/>
    <w:basedOn w:val="a2"/>
    <w:semiHidden/>
    <w:pPr>
      <w:spacing w:line="360" w:lineRule="atLeast"/>
    </w:pPr>
    <w:rPr>
      <w:rFonts w:ascii="Arial" w:eastAsia="–¾’©" w:hAnsi="Arial"/>
      <w:sz w:val="18"/>
    </w:rPr>
  </w:style>
  <w:style w:type="paragraph" w:styleId="33">
    <w:name w:val="Body Text 3"/>
    <w:basedOn w:val="a2"/>
    <w:semiHidden/>
    <w:pPr>
      <w:keepNext/>
      <w:keepLines/>
    </w:pPr>
    <w:rPr>
      <w:rFonts w:eastAsia="Osaka"/>
      <w:color w:val="000000"/>
    </w:rPr>
  </w:style>
  <w:style w:type="paragraph" w:styleId="ac">
    <w:name w:val="Body Text"/>
    <w:basedOn w:val="a2"/>
    <w:link w:val="Char0"/>
    <w:rPr>
      <w:rFonts w:eastAsia="MS Mincho"/>
      <w:lang w:eastAsia="en-GB"/>
    </w:rPr>
  </w:style>
  <w:style w:type="paragraph" w:styleId="ad">
    <w:name w:val="Body Text Indent"/>
    <w:basedOn w:val="a2"/>
    <w:semiHidden/>
    <w:pPr>
      <w:ind w:left="210"/>
    </w:pPr>
    <w:rPr>
      <w:snapToGrid/>
    </w:rPr>
  </w:style>
  <w:style w:type="paragraph" w:styleId="ae">
    <w:name w:val="Plain Text"/>
    <w:basedOn w:val="a2"/>
    <w:semiHidden/>
    <w:rPr>
      <w:rFonts w:ascii="Courier New" w:hAnsi="Courier New"/>
      <w:lang w:val="nb-NO"/>
    </w:rPr>
  </w:style>
  <w:style w:type="paragraph" w:styleId="51">
    <w:name w:val="List Bullet 5"/>
    <w:basedOn w:val="41"/>
    <w:semiHidden/>
    <w:pPr>
      <w:ind w:left="1702"/>
    </w:pPr>
  </w:style>
  <w:style w:type="paragraph" w:styleId="80">
    <w:name w:val="toc 8"/>
    <w:basedOn w:val="10"/>
    <w:next w:val="a2"/>
    <w:semiHidden/>
    <w:qFormat/>
    <w:pPr>
      <w:spacing w:before="180"/>
      <w:ind w:left="2693" w:hanging="2693"/>
    </w:pPr>
    <w:rPr>
      <w:b/>
    </w:rPr>
  </w:style>
  <w:style w:type="paragraph" w:styleId="af">
    <w:name w:val="Balloon Text"/>
    <w:basedOn w:val="a2"/>
    <w:link w:val="Char1"/>
    <w:rsid w:val="001D52D8"/>
    <w:pPr>
      <w:spacing w:line="240" w:lineRule="auto"/>
    </w:pPr>
    <w:rPr>
      <w:sz w:val="18"/>
      <w:szCs w:val="18"/>
    </w:rPr>
  </w:style>
  <w:style w:type="paragraph" w:styleId="af0">
    <w:name w:val="footer"/>
    <w:link w:val="Char2"/>
    <w:rsid w:val="001D52D8"/>
    <w:pPr>
      <w:tabs>
        <w:tab w:val="center" w:pos="4510"/>
        <w:tab w:val="right" w:pos="9020"/>
      </w:tabs>
    </w:pPr>
    <w:rPr>
      <w:rFonts w:ascii="Arial" w:eastAsia="宋体" w:hAnsi="Arial"/>
      <w:sz w:val="18"/>
      <w:szCs w:val="18"/>
    </w:rPr>
  </w:style>
  <w:style w:type="paragraph" w:styleId="af1">
    <w:name w:val="header"/>
    <w:link w:val="Char3"/>
    <w:rsid w:val="001D52D8"/>
    <w:pPr>
      <w:tabs>
        <w:tab w:val="center" w:pos="4153"/>
        <w:tab w:val="right" w:pos="8306"/>
      </w:tabs>
      <w:snapToGrid w:val="0"/>
      <w:jc w:val="both"/>
    </w:pPr>
    <w:rPr>
      <w:rFonts w:ascii="Arial" w:eastAsia="宋体" w:hAnsi="Arial"/>
      <w:sz w:val="18"/>
      <w:szCs w:val="18"/>
    </w:rPr>
  </w:style>
  <w:style w:type="paragraph" w:styleId="af2">
    <w:name w:val="index heading"/>
    <w:basedOn w:val="a2"/>
    <w:next w:val="a2"/>
    <w:semiHidden/>
    <w:qFormat/>
    <w:pPr>
      <w:pBdr>
        <w:top w:val="single" w:sz="12" w:space="0" w:color="auto"/>
      </w:pBdr>
      <w:spacing w:before="360" w:after="240"/>
    </w:pPr>
    <w:rPr>
      <w:b/>
      <w:i/>
      <w:sz w:val="26"/>
    </w:rPr>
  </w:style>
  <w:style w:type="paragraph" w:styleId="af3">
    <w:name w:val="footnote text"/>
    <w:basedOn w:val="a2"/>
    <w:semiHidden/>
    <w:pPr>
      <w:keepLines/>
      <w:ind w:left="454" w:hanging="454"/>
    </w:pPr>
    <w:rPr>
      <w:sz w:val="16"/>
    </w:rPr>
  </w:style>
  <w:style w:type="paragraph" w:styleId="52">
    <w:name w:val="List 5"/>
    <w:basedOn w:val="42"/>
    <w:semiHidden/>
    <w:pPr>
      <w:ind w:left="1702"/>
    </w:pPr>
  </w:style>
  <w:style w:type="paragraph" w:styleId="42">
    <w:name w:val="List 4"/>
    <w:basedOn w:val="30"/>
    <w:semiHidden/>
    <w:pPr>
      <w:ind w:left="1418"/>
    </w:pPr>
  </w:style>
  <w:style w:type="paragraph" w:styleId="34">
    <w:name w:val="Body Text Indent 3"/>
    <w:basedOn w:val="a2"/>
    <w:semiHidden/>
    <w:pPr>
      <w:ind w:left="1080"/>
    </w:pPr>
  </w:style>
  <w:style w:type="paragraph" w:styleId="af4">
    <w:name w:val="table of figures"/>
    <w:basedOn w:val="a2"/>
    <w:next w:val="a2"/>
    <w:semiHidden/>
    <w:pPr>
      <w:ind w:left="400" w:hanging="400"/>
      <w:jc w:val="center"/>
    </w:pPr>
    <w:rPr>
      <w:b/>
    </w:rPr>
  </w:style>
  <w:style w:type="paragraph" w:styleId="90">
    <w:name w:val="toc 9"/>
    <w:basedOn w:val="80"/>
    <w:next w:val="a2"/>
    <w:semiHidden/>
    <w:qFormat/>
    <w:pPr>
      <w:ind w:left="1418" w:hanging="1418"/>
    </w:pPr>
  </w:style>
  <w:style w:type="paragraph" w:styleId="24">
    <w:name w:val="Body Text 2"/>
    <w:basedOn w:val="a2"/>
    <w:semiHidden/>
    <w:rPr>
      <w:i/>
    </w:rPr>
  </w:style>
  <w:style w:type="paragraph" w:styleId="af5">
    <w:name w:val="Normal (Web)"/>
    <w:basedOn w:val="a2"/>
    <w:uiPriority w:val="99"/>
    <w:semiHidden/>
    <w:unhideWhenUsed/>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5">
    <w:name w:val="index 2"/>
    <w:basedOn w:val="11"/>
    <w:next w:val="a2"/>
    <w:semiHidden/>
    <w:pPr>
      <w:ind w:left="284"/>
    </w:pPr>
  </w:style>
  <w:style w:type="paragraph" w:styleId="af6">
    <w:name w:val="Title"/>
    <w:basedOn w:val="a2"/>
    <w:next w:val="a2"/>
    <w:link w:val="Char4"/>
    <w:qFormat/>
    <w:pPr>
      <w:spacing w:before="240" w:after="60"/>
      <w:jc w:val="center"/>
      <w:outlineLvl w:val="0"/>
    </w:pPr>
    <w:rPr>
      <w:rFonts w:ascii="Calibri Light" w:hAnsi="Calibri Light"/>
      <w:b/>
      <w:bCs/>
      <w:sz w:val="32"/>
      <w:szCs w:val="32"/>
    </w:rPr>
  </w:style>
  <w:style w:type="paragraph" w:styleId="af7">
    <w:name w:val="annotation subject"/>
    <w:basedOn w:val="ab"/>
    <w:next w:val="ab"/>
    <w:semiHidden/>
    <w:pPr>
      <w:widowControl/>
      <w:spacing w:line="240" w:lineRule="auto"/>
    </w:pPr>
    <w:rPr>
      <w:rFonts w:ascii="Times New Roman" w:eastAsia="Times New Roman"/>
      <w:b/>
      <w:bCs/>
      <w:sz w:val="20"/>
      <w:lang w:eastAsia="en-GB"/>
    </w:rPr>
  </w:style>
  <w:style w:type="table" w:styleId="af8">
    <w:name w:val="Table Grid"/>
    <w:basedOn w:val="a4"/>
    <w:rsid w:val="001D52D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3"/>
    <w:semiHidden/>
  </w:style>
  <w:style w:type="character" w:styleId="afa">
    <w:name w:val="FollowedHyperlink"/>
    <w:semiHidden/>
    <w:rPr>
      <w:color w:val="800080"/>
      <w:u w:val="single"/>
    </w:rPr>
  </w:style>
  <w:style w:type="character" w:styleId="afb">
    <w:name w:val="Hyperlink"/>
    <w:uiPriority w:val="99"/>
    <w:rPr>
      <w:color w:val="0000FF"/>
      <w:u w:val="single"/>
    </w:rPr>
  </w:style>
  <w:style w:type="character" w:styleId="afc">
    <w:name w:val="annotation reference"/>
    <w:semiHidden/>
    <w:rPr>
      <w:sz w:val="16"/>
      <w:szCs w:val="16"/>
    </w:rPr>
  </w:style>
  <w:style w:type="character" w:styleId="afd">
    <w:name w:val="footnote reference"/>
    <w:qFormat/>
    <w:rPr>
      <w:b/>
      <w:position w:val="6"/>
      <w:sz w:val="16"/>
    </w:rPr>
  </w:style>
  <w:style w:type="character" w:customStyle="1" w:styleId="1Char">
    <w:name w:val="标题 1 Char"/>
    <w:link w:val="1"/>
    <w:rPr>
      <w:rFonts w:ascii="Arial" w:eastAsia="黑体" w:hAnsi="Arial"/>
      <w:b/>
      <w:sz w:val="32"/>
      <w:szCs w:val="32"/>
    </w:rPr>
  </w:style>
  <w:style w:type="paragraph" w:customStyle="1" w:styleId="CharChar24">
    <w:name w:val="Char Char24"/>
    <w:basedOn w:val="a2"/>
    <w:semiHidden/>
    <w:pPr>
      <w:tabs>
        <w:tab w:val="left" w:pos="540"/>
        <w:tab w:val="left" w:pos="1260"/>
        <w:tab w:val="left" w:pos="1800"/>
      </w:tabs>
      <w:spacing w:before="240" w:after="160" w:line="240" w:lineRule="exact"/>
    </w:pPr>
    <w:rPr>
      <w:rFonts w:ascii="Verdana" w:eastAsia="Batang" w:hAnsi="Verdana"/>
      <w:sz w:val="24"/>
    </w:rPr>
  </w:style>
  <w:style w:type="character" w:customStyle="1" w:styleId="2Char">
    <w:name w:val="标题 2 Char"/>
    <w:link w:val="2"/>
    <w:rPr>
      <w:rFonts w:ascii="Arial" w:eastAsia="黑体" w:hAnsi="Arial"/>
      <w:sz w:val="24"/>
      <w:szCs w:val="24"/>
    </w:rPr>
  </w:style>
  <w:style w:type="character" w:customStyle="1" w:styleId="3Char">
    <w:name w:val="标题 3 Char"/>
    <w:link w:val="3"/>
    <w:rPr>
      <w:rFonts w:eastAsia="黑体"/>
      <w:bCs/>
      <w:snapToGrid w:val="0"/>
      <w:kern w:val="2"/>
      <w:sz w:val="24"/>
      <w:szCs w:val="32"/>
    </w:rPr>
  </w:style>
  <w:style w:type="character" w:customStyle="1" w:styleId="4Char">
    <w:name w:val="标题 4 Char"/>
    <w:link w:val="4"/>
    <w:qFormat/>
    <w:rPr>
      <w:rFonts w:eastAsia="黑体"/>
      <w:bCs/>
      <w:snapToGrid w:val="0"/>
      <w:kern w:val="2"/>
      <w:sz w:val="24"/>
      <w:szCs w:val="3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2"/>
    <w:next w:val="a2"/>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2"/>
    <w:semiHidden/>
    <w:qFormat/>
    <w:pPr>
      <w:outlineLvl w:val="9"/>
    </w:pPr>
  </w:style>
  <w:style w:type="paragraph" w:customStyle="1" w:styleId="contribution">
    <w:name w:val="contribution"/>
    <w:basedOn w:val="1"/>
    <w:semiHidden/>
    <w:pPr>
      <w:tabs>
        <w:tab w:val="clear" w:pos="432"/>
        <w:tab w:val="left" w:pos="45"/>
      </w:tabs>
      <w:ind w:left="405" w:hanging="405"/>
    </w:pPr>
  </w:style>
  <w:style w:type="paragraph" w:customStyle="1" w:styleId="NO">
    <w:name w:val="NO"/>
    <w:basedOn w:val="a2"/>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numPr>
        <w:numId w:val="2"/>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pPr>
      <w:jc w:val="right"/>
    </w:pPr>
  </w:style>
  <w:style w:type="paragraph" w:customStyle="1" w:styleId="TAL">
    <w:name w:val="TAL"/>
    <w:basedOn w:val="a2"/>
    <w:link w:val="TALChar"/>
    <w:qFormat/>
    <w:pPr>
      <w:keepNext/>
      <w:keepLines/>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style>
  <w:style w:type="paragraph" w:customStyle="1" w:styleId="EditorsNote">
    <w:name w:val="Editor's Note"/>
    <w:basedOn w:val="NO"/>
    <w:semiHidden/>
    <w:rPr>
      <w:color w:val="FF0000"/>
    </w:rPr>
  </w:style>
  <w:style w:type="paragraph" w:customStyle="1" w:styleId="TH">
    <w:name w:val="TH"/>
    <w:basedOn w:val="a2"/>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qFormat/>
    <w:pPr>
      <w:framePr w:wrap="notBeside" w:y="16161"/>
    </w:pPr>
  </w:style>
  <w:style w:type="character" w:customStyle="1" w:styleId="Char0">
    <w:name w:val="正文文本 Char"/>
    <w:link w:val="ac"/>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2"/>
    <w:semiHidden/>
    <w:pPr>
      <w:tabs>
        <w:tab w:val="center" w:pos="4820"/>
        <w:tab w:val="right" w:pos="9640"/>
      </w:tabs>
    </w:pPr>
  </w:style>
  <w:style w:type="paragraph" w:customStyle="1" w:styleId="Char5">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2"/>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style>
  <w:style w:type="character" w:customStyle="1" w:styleId="Heading4Char">
    <w:name w:val="Heading 4 Char"/>
    <w:link w:val="heading40"/>
    <w:semiHidden/>
    <w:rPr>
      <w:rFonts w:ascii="Arial" w:eastAsia="Arial" w:hAnsi="Arial"/>
      <w:sz w:val="28"/>
      <w:lang w:val="en-GB" w:eastAsia="en-US"/>
    </w:rPr>
  </w:style>
  <w:style w:type="paragraph" w:customStyle="1" w:styleId="afe">
    <w:name w:val="样式 页眉"/>
    <w:basedOn w:val="af1"/>
    <w:link w:val="Char6"/>
    <w:rPr>
      <w:rFonts w:eastAsia="Arial"/>
      <w:b/>
      <w:bCs/>
      <w:sz w:val="22"/>
    </w:rPr>
  </w:style>
  <w:style w:type="character" w:customStyle="1" w:styleId="Char3">
    <w:name w:val="页眉 Char"/>
    <w:link w:val="af1"/>
    <w:rPr>
      <w:rFonts w:ascii="Arial" w:eastAsia="宋体" w:hAnsi="Arial"/>
      <w:sz w:val="18"/>
      <w:szCs w:val="18"/>
    </w:rPr>
  </w:style>
  <w:style w:type="character" w:customStyle="1" w:styleId="Char6">
    <w:name w:val="样式 页眉 Char"/>
    <w:link w:val="afe"/>
    <w:rPr>
      <w:rFonts w:ascii="Arial" w:eastAsia="Arial" w:hAnsi="Arial"/>
      <w:bCs/>
      <w:sz w:val="22"/>
      <w:lang w:val="en-GB" w:eastAsia="en-US" w:bidi="ar-SA"/>
    </w:rPr>
  </w:style>
  <w:style w:type="paragraph" w:customStyle="1" w:styleId="a1">
    <w:name w:val="表格题注"/>
    <w:next w:val="a2"/>
    <w:rsid w:val="001D52D8"/>
    <w:pPr>
      <w:keepLines/>
      <w:numPr>
        <w:ilvl w:val="8"/>
        <w:numId w:val="12"/>
      </w:numPr>
      <w:spacing w:beforeLines="100"/>
      <w:ind w:left="1089" w:hanging="369"/>
      <w:jc w:val="center"/>
    </w:pPr>
    <w:rPr>
      <w:rFonts w:ascii="Arial" w:eastAsia="宋体" w:hAnsi="Arial"/>
      <w:sz w:val="18"/>
      <w:szCs w:val="18"/>
    </w:rPr>
  </w:style>
  <w:style w:type="paragraph" w:customStyle="1" w:styleId="a0">
    <w:name w:val="插图题注"/>
    <w:next w:val="a2"/>
    <w:rsid w:val="001D52D8"/>
    <w:pPr>
      <w:numPr>
        <w:ilvl w:val="7"/>
        <w:numId w:val="12"/>
      </w:numPr>
      <w:spacing w:afterLines="100"/>
      <w:ind w:left="1089" w:hanging="369"/>
      <w:jc w:val="center"/>
    </w:pPr>
    <w:rPr>
      <w:rFonts w:ascii="Arial" w:eastAsia="宋体" w:hAnsi="Arial"/>
      <w:sz w:val="18"/>
      <w:szCs w:val="18"/>
    </w:rPr>
  </w:style>
  <w:style w:type="character" w:customStyle="1" w:styleId="textbodybold1">
    <w:name w:val="textbodybold1"/>
    <w:rPr>
      <w:rFonts w:ascii="Arial" w:hAnsi="Arial" w:cs="Arial" w:hint="default"/>
      <w:b/>
      <w:bCs/>
      <w:color w:val="902630"/>
      <w:sz w:val="18"/>
      <w:szCs w:val="18"/>
    </w:rPr>
  </w:style>
  <w:style w:type="paragraph" w:customStyle="1" w:styleId="B1">
    <w:name w:val="B1"/>
    <w:basedOn w:val="a6"/>
    <w:link w:val="B1Char"/>
  </w:style>
  <w:style w:type="character" w:customStyle="1" w:styleId="B1Char">
    <w:name w:val="B1 Char"/>
    <w:link w:val="B1"/>
    <w:rPr>
      <w:rFonts w:eastAsia="宋体"/>
      <w:lang w:val="en-GB" w:eastAsia="en-US" w:bidi="ar-SA"/>
    </w:rPr>
  </w:style>
  <w:style w:type="paragraph" w:customStyle="1" w:styleId="EX">
    <w:name w:val="EX"/>
    <w:basedOn w:val="a2"/>
    <w:pPr>
      <w:keepLines/>
      <w:ind w:left="1702" w:hanging="1418"/>
    </w:pPr>
    <w:rPr>
      <w:lang w:eastAsia="ja-JP"/>
    </w:rPr>
  </w:style>
  <w:style w:type="paragraph" w:customStyle="1" w:styleId="CharChar1">
    <w:name w:val="Char Char1"/>
    <w:basedOn w:val="a2"/>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0"/>
    <w:link w:val="B2Char"/>
    <w:qFormat/>
    <w:rPr>
      <w:rFonts w:eastAsia="MS Mincho"/>
    </w:rPr>
  </w:style>
  <w:style w:type="character" w:customStyle="1" w:styleId="msoins0">
    <w:name w:val="msoins"/>
    <w:basedOn w:val="a3"/>
    <w:qFormat/>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0"/>
    <w:link w:val="B3Char"/>
    <w:qFormat/>
    <w:rPr>
      <w:snapToGrid/>
      <w:color w:val="000000"/>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rPr>
      <w:snapToGrid/>
      <w:color w:val="000000"/>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basedOn w:val="a2"/>
    <w:link w:val="Char7"/>
    <w:uiPriority w:val="34"/>
    <w:qFormat/>
    <w:rsid w:val="001D52D8"/>
    <w:pPr>
      <w:ind w:firstLineChars="200" w:firstLine="420"/>
    </w:pPr>
  </w:style>
  <w:style w:type="paragraph" w:customStyle="1" w:styleId="CRCoverPage">
    <w:name w:val="CR Cover Page"/>
    <w:next w:val="a2"/>
    <w:link w:val="CRCoverPageZchn"/>
    <w:qFormat/>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customStyle="1" w:styleId="12">
    <w:name w:val="修订1"/>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2"/>
    <w:link w:val="Doc-text2Char"/>
    <w:qFormat/>
    <w:pPr>
      <w:tabs>
        <w:tab w:val="left" w:pos="1622"/>
      </w:tabs>
      <w:ind w:left="1622" w:hanging="363"/>
    </w:pPr>
    <w:rPr>
      <w:rFonts w:ascii="Arial" w:eastAsia="MS Mincho" w:hAnsi="Arial"/>
      <w:szCs w:val="24"/>
      <w:lang w:val="zh-CN"/>
    </w:rPr>
  </w:style>
  <w:style w:type="paragraph" w:customStyle="1" w:styleId="Comments">
    <w:name w:val="Comments"/>
    <w:basedOn w:val="a2"/>
    <w:link w:val="CommentsChar"/>
    <w:qFormat/>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2"/>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rPr>
      <w:rFonts w:ascii="Arial" w:hAnsi="Arial"/>
      <w:szCs w:val="24"/>
      <w:lang w:val="en-GB" w:eastAsia="en-GB"/>
    </w:rPr>
  </w:style>
  <w:style w:type="paragraph" w:customStyle="1" w:styleId="TF">
    <w:name w:val="TF"/>
    <w:basedOn w:val="TH"/>
    <w:pPr>
      <w:keepNext w:val="0"/>
      <w:spacing w:before="0" w:after="240"/>
    </w:pPr>
    <w:rPr>
      <w:rFonts w:eastAsia="宋体"/>
    </w:rPr>
  </w:style>
  <w:style w:type="character" w:customStyle="1" w:styleId="B2Car">
    <w:name w:val="B2 Car"/>
    <w:qFormat/>
    <w:rPr>
      <w:lang w:val="en-GB" w:eastAsia="en-US"/>
    </w:rPr>
  </w:style>
  <w:style w:type="character" w:customStyle="1" w:styleId="Char2">
    <w:name w:val="页脚 Char"/>
    <w:link w:val="af0"/>
    <w:qFormat/>
    <w:rPr>
      <w:rFonts w:ascii="Arial" w:eastAsia="宋体" w:hAnsi="Arial"/>
      <w:sz w:val="18"/>
      <w:szCs w:val="18"/>
    </w:rPr>
  </w:style>
  <w:style w:type="character" w:customStyle="1" w:styleId="Char">
    <w:name w:val="题注 Char"/>
    <w:link w:val="a9"/>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Char7">
    <w:name w:val="列出段落 Char"/>
    <w:link w:val="aff"/>
    <w:uiPriority w:val="34"/>
    <w:qFormat/>
    <w:locked/>
    <w:rPr>
      <w:rFonts w:eastAsia="宋体"/>
      <w:snapToGrid w:val="0"/>
      <w:sz w:val="21"/>
      <w:szCs w:val="21"/>
    </w:rPr>
  </w:style>
  <w:style w:type="character" w:customStyle="1" w:styleId="Char4">
    <w:name w:val="标题 Char"/>
    <w:link w:val="af6"/>
    <w:qFormat/>
    <w:rPr>
      <w:rFonts w:ascii="Calibri Light" w:eastAsia="宋体" w:hAnsi="Calibri Light" w:cs="Times New Roman"/>
      <w:b/>
      <w:bCs/>
      <w:sz w:val="32"/>
      <w:szCs w:val="32"/>
      <w:lang w:val="en-GB" w:eastAsia="en-US"/>
    </w:rPr>
  </w:style>
  <w:style w:type="paragraph" w:customStyle="1" w:styleId="Eqn">
    <w:name w:val="Eqn"/>
    <w:basedOn w:val="a2"/>
    <w:qFormat/>
    <w:pPr>
      <w:tabs>
        <w:tab w:val="center" w:pos="4608"/>
        <w:tab w:val="right" w:pos="9216"/>
      </w:tabs>
      <w:snapToGrid w:val="0"/>
      <w:spacing w:after="120"/>
    </w:pPr>
    <w:rPr>
      <w:sz w:val="22"/>
      <w:lang w:eastAsia="ja-JP"/>
    </w:rPr>
  </w:style>
  <w:style w:type="paragraph" w:customStyle="1" w:styleId="References">
    <w:name w:val="References"/>
    <w:basedOn w:val="a2"/>
    <w:qFormat/>
    <w:pPr>
      <w:numPr>
        <w:numId w:val="5"/>
      </w:numPr>
      <w:snapToGrid w:val="0"/>
      <w:spacing w:after="60"/>
    </w:pPr>
    <w:rPr>
      <w:szCs w:val="16"/>
    </w:rPr>
  </w:style>
  <w:style w:type="table" w:customStyle="1" w:styleId="13">
    <w:name w:val="网格型1"/>
    <w:basedOn w:val="a4"/>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 w:type="paragraph" w:customStyle="1" w:styleId="a">
    <w:name w:val="佐藤２"/>
    <w:basedOn w:val="a2"/>
    <w:uiPriority w:val="99"/>
    <w:qFormat/>
    <w:pPr>
      <w:numPr>
        <w:numId w:val="6"/>
      </w:numPr>
    </w:pPr>
    <w:rPr>
      <w:rFonts w:eastAsia="MS Gothic"/>
      <w:sz w:val="24"/>
      <w:lang w:eastAsia="ja-JP"/>
    </w:rPr>
  </w:style>
  <w:style w:type="paragraph" w:customStyle="1" w:styleId="Proposal">
    <w:name w:val="Proposal"/>
    <w:basedOn w:val="ac"/>
    <w:qFormat/>
    <w:pPr>
      <w:numPr>
        <w:numId w:val="7"/>
      </w:numPr>
      <w:tabs>
        <w:tab w:val="left" w:pos="936"/>
        <w:tab w:val="left" w:pos="1701"/>
      </w:tabs>
      <w:spacing w:after="120" w:line="259" w:lineRule="auto"/>
      <w:ind w:left="936" w:hanging="936"/>
    </w:pPr>
    <w:rPr>
      <w:rFonts w:ascii="Arial" w:eastAsia="Calibri" w:hAnsi="Arial" w:cs="Arial"/>
      <w:b/>
      <w:bCs/>
      <w:sz w:val="22"/>
      <w:lang w:eastAsia="zh-CN"/>
    </w:rPr>
  </w:style>
  <w:style w:type="character" w:customStyle="1" w:styleId="TANChar">
    <w:name w:val="TAN Char"/>
    <w:link w:val="TAN"/>
    <w:qFormat/>
    <w:locked/>
    <w:rPr>
      <w:rFonts w:ascii="Arial" w:hAnsi="Arial"/>
      <w:sz w:val="18"/>
      <w:lang w:val="en-GB" w:eastAsia="en-US"/>
    </w:rPr>
  </w:style>
  <w:style w:type="paragraph" w:customStyle="1" w:styleId="Agreement">
    <w:name w:val="Agreement"/>
    <w:basedOn w:val="a2"/>
    <w:next w:val="Doc-text2"/>
    <w:uiPriority w:val="99"/>
    <w:qFormat/>
    <w:pPr>
      <w:tabs>
        <w:tab w:val="left" w:pos="1619"/>
        <w:tab w:val="left" w:pos="9990"/>
      </w:tabs>
      <w:spacing w:before="60"/>
      <w:ind w:left="1616" w:hanging="357"/>
    </w:pPr>
    <w:rPr>
      <w:rFonts w:ascii="Arial" w:hAnsi="Arial"/>
      <w:b/>
      <w:lang w:eastAsia="ja-JP"/>
    </w:rPr>
  </w:style>
  <w:style w:type="table" w:customStyle="1" w:styleId="35">
    <w:name w:val="网格型3"/>
    <w:basedOn w:val="a4"/>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表格文本"/>
    <w:rsid w:val="001D52D8"/>
    <w:pPr>
      <w:tabs>
        <w:tab w:val="decimal" w:pos="0"/>
      </w:tabs>
    </w:pPr>
    <w:rPr>
      <w:rFonts w:ascii="Arial" w:eastAsia="宋体" w:hAnsi="Arial"/>
      <w:noProof/>
      <w:sz w:val="21"/>
      <w:szCs w:val="21"/>
    </w:rPr>
  </w:style>
  <w:style w:type="paragraph" w:customStyle="1" w:styleId="aff1">
    <w:name w:val="表头文本"/>
    <w:rsid w:val="001D52D8"/>
    <w:pPr>
      <w:jc w:val="center"/>
    </w:pPr>
    <w:rPr>
      <w:rFonts w:ascii="Arial" w:eastAsia="宋体" w:hAnsi="Arial"/>
      <w:b/>
      <w:sz w:val="21"/>
      <w:szCs w:val="21"/>
    </w:rPr>
  </w:style>
  <w:style w:type="table" w:customStyle="1" w:styleId="aff2">
    <w:name w:val="表样式"/>
    <w:basedOn w:val="a4"/>
    <w:rsid w:val="001D52D8"/>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3">
    <w:name w:val="图样式"/>
    <w:basedOn w:val="a2"/>
    <w:rsid w:val="001D52D8"/>
    <w:pPr>
      <w:keepNext/>
      <w:widowControl/>
      <w:spacing w:before="80" w:after="80"/>
      <w:jc w:val="center"/>
    </w:pPr>
  </w:style>
  <w:style w:type="paragraph" w:customStyle="1" w:styleId="aff4">
    <w:name w:val="文档标题"/>
    <w:basedOn w:val="a2"/>
    <w:rsid w:val="001D52D8"/>
    <w:pPr>
      <w:tabs>
        <w:tab w:val="left" w:pos="0"/>
      </w:tabs>
      <w:spacing w:before="300" w:after="300"/>
      <w:jc w:val="center"/>
    </w:pPr>
    <w:rPr>
      <w:rFonts w:ascii="Arial" w:eastAsia="黑体" w:hAnsi="Arial"/>
      <w:sz w:val="36"/>
      <w:szCs w:val="36"/>
    </w:rPr>
  </w:style>
  <w:style w:type="paragraph" w:customStyle="1" w:styleId="aff5">
    <w:name w:val="正文（首行不缩进）"/>
    <w:basedOn w:val="a2"/>
    <w:rsid w:val="001D52D8"/>
  </w:style>
  <w:style w:type="paragraph" w:customStyle="1" w:styleId="aff6">
    <w:name w:val="注示头"/>
    <w:basedOn w:val="a2"/>
    <w:rsid w:val="001D52D8"/>
    <w:pPr>
      <w:pBdr>
        <w:top w:val="single" w:sz="4" w:space="1" w:color="000000"/>
      </w:pBdr>
      <w:jc w:val="both"/>
    </w:pPr>
    <w:rPr>
      <w:rFonts w:ascii="Arial" w:eastAsia="黑体" w:hAnsi="Arial"/>
      <w:sz w:val="18"/>
    </w:rPr>
  </w:style>
  <w:style w:type="paragraph" w:customStyle="1" w:styleId="aff7">
    <w:name w:val="注示文本"/>
    <w:basedOn w:val="a2"/>
    <w:rsid w:val="001D52D8"/>
    <w:pPr>
      <w:pBdr>
        <w:bottom w:val="single" w:sz="4" w:space="1" w:color="000000"/>
      </w:pBdr>
      <w:ind w:firstLine="360"/>
      <w:jc w:val="both"/>
    </w:pPr>
    <w:rPr>
      <w:rFonts w:ascii="Arial" w:eastAsia="楷体_GB2312" w:hAnsi="Arial"/>
      <w:sz w:val="18"/>
      <w:szCs w:val="18"/>
    </w:rPr>
  </w:style>
  <w:style w:type="paragraph" w:customStyle="1" w:styleId="aff8">
    <w:name w:val="编写建议"/>
    <w:basedOn w:val="a2"/>
    <w:rsid w:val="001D52D8"/>
    <w:pPr>
      <w:ind w:firstLine="420"/>
    </w:pPr>
    <w:rPr>
      <w:rFonts w:ascii="Arial" w:hAnsi="Arial" w:cs="Arial"/>
      <w:i/>
      <w:color w:val="0000FF"/>
    </w:rPr>
  </w:style>
  <w:style w:type="character" w:customStyle="1" w:styleId="aff9">
    <w:name w:val="样式一"/>
    <w:basedOn w:val="a3"/>
    <w:rsid w:val="001D52D8"/>
    <w:rPr>
      <w:rFonts w:ascii="宋体" w:hAnsi="宋体"/>
      <w:b/>
      <w:bCs/>
      <w:color w:val="000000"/>
      <w:sz w:val="36"/>
    </w:rPr>
  </w:style>
  <w:style w:type="character" w:customStyle="1" w:styleId="affa">
    <w:name w:val="样式二"/>
    <w:basedOn w:val="aff9"/>
    <w:rsid w:val="001D52D8"/>
    <w:rPr>
      <w:rFonts w:ascii="宋体" w:hAnsi="宋体"/>
      <w:b/>
      <w:bCs/>
      <w:color w:val="000000"/>
      <w:sz w:val="36"/>
    </w:rPr>
  </w:style>
  <w:style w:type="character" w:customStyle="1" w:styleId="Char1">
    <w:name w:val="批注框文本 Char"/>
    <w:basedOn w:val="a3"/>
    <w:link w:val="af"/>
    <w:rsid w:val="001D52D8"/>
    <w:rPr>
      <w:rFonts w:eastAsia="宋体"/>
      <w:snapToGrid w:val="0"/>
      <w:sz w:val="18"/>
      <w:szCs w:val="18"/>
    </w:rPr>
  </w:style>
  <w:style w:type="character" w:customStyle="1" w:styleId="B3Char2">
    <w:name w:val="B3 Char2"/>
    <w:qFormat/>
    <w:locked/>
    <w:rsid w:val="001E33A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480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1403</Words>
  <Characters>7998</Characters>
  <Application>Microsoft Office Word</Application>
  <DocSecurity>0</DocSecurity>
  <Lines>66</Lines>
  <Paragraphs>18</Paragraphs>
  <ScaleCrop>false</ScaleCrop>
  <Company>Huawei Technologies Co.,Ltd.</Company>
  <LinksUpToDate>false</LinksUpToDate>
  <CharactersWithSpaces>9383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cp:lastPrinted>2010-01-07T00:23:00Z</cp:lastPrinted>
  <dcterms:created xsi:type="dcterms:W3CDTF">2023-02-17T06:37:00Z</dcterms:created>
  <dcterms:modified xsi:type="dcterms:W3CDTF">2023-02-17T07:29:00Z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(3)FRnVp6pno0c27QB7ds1yQaRODloGPAdnLqoiR98Kl4cs4MLlNiOQlHzwSK46zrqnAIcUng0e
3yZoYZDfkd5/Cm6pMAYRARVj41JqN1omqUYqCYOZAOjGDGhlQwj1VKWtXqIHkFFLaPgQFOc9
5AXP0OOkT9SCPR/wvGozz2slCAiYOjj9EL88mi3AMwZdLRK/Q7ZFa6CaMusIHTqpSfrqlrzv
gFILlsPHNzPiX8nPeS</vt:lpwstr>
  </property>
  <property fmtid="{D5CDD505-2E9C-101B-9397-08002B2CF9AE}" pid="11" name="_2015_ms_pID_7253431">
    <vt:lpwstr>xQtTjpI9uftBP+h3eXeQ2dMtqlv9c117/OFe/ZfmSjLkXyzMsVdrza
3KGR4nhPb8cJlxvWovGkmVr3lZtVzLoA7VaEyaKH7R03FHN4qdKJ6U9patvRs5Za/OvL5mSH
c1bCjHsiR7LV32v6ptFOhJdrovqPH0brQyth7omp7qL17zBM2wmSAnqgyHLlKP6xqgZ4Ur7p
p2jbdZRw1+OMgreqjvCmoR+myRpHBwOq5tPn</vt:lpwstr>
  </property>
  <property fmtid="{D5CDD505-2E9C-101B-9397-08002B2CF9AE}" pid="12" name="_2015_ms_pID_7253432">
    <vt:lpwstr>prEnYQl5HzFgF/2z4qBDr8GS4sLr0v2HeDAF
SYYvIhlgGCcyxU7lXy7jqSbSx2fX2ibzKBqG+Y4AUfQDWFonknI=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KSOProductBuildVer">
    <vt:lpwstr>2052-0.0.0.0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1676278369</vt:lpwstr>
  </property>
</Properties>
</file>